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Access Control Policy</w:t>
      </w:r>
    </w:p>
    <w:p>
      <w:pPr>
        <w:pStyle w:val="documentInfo"/>
        <w:jc w:val="center"/>
      </w:pPr>
      <w:r>
        <w:t xml:space="preserve">Ostrai, Inc. | Information Security</w:t>
      </w:r>
    </w:p>
    <w:p>
      <w:pPr>
        <w:pStyle w:val="documentInfo"/>
        <w:spacing w:after="400"/>
        <w:jc w:val="center"/>
      </w:pPr>
      <w:r>
        <w:t xml:space="preserve">Version 2.3 | Effective Date: October 1, 2025 | Classification: Internal</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2340"/>
        <w:gridCol w:w="6840"/>
      </w:tblGrid>
      <w:tr>
        <w:tc>
          <w:tcPr>
            <w:tcW w:type="dxa" w:w="2340"/>
            <w:tcBorders>
              <w:top w:val="single" w:color="CCCCCC" w:sz="1"/>
              <w:left w:val="single" w:color="CCCCCC" w:sz="1"/>
              <w:bottom w:val="single" w:color="CCCCCC" w:sz="1"/>
              <w:right w:val="single" w:color="CCCCCC" w:sz="1"/>
            </w:tcBorders>
            <w:shd w:fill="ECF0F1" w:val="clear"/>
          </w:tcPr>
          <w:p>
            <w:r>
              <w:rPr>
                <w:b/>
                <w:bCs/>
              </w:rPr>
              <w:t xml:space="preserve">Policy Owner</w:t>
            </w:r>
          </w:p>
        </w:tc>
        <w:tc>
          <w:tcPr>
            <w:tcW w:type="dxa" w:w="6840"/>
            <w:tcBorders>
              <w:top w:val="single" w:color="CCCCCC" w:sz="1"/>
              <w:left w:val="single" w:color="CCCCCC" w:sz="1"/>
              <w:bottom w:val="single" w:color="CCCCCC" w:sz="1"/>
              <w:right w:val="single" w:color="CCCCCC" w:sz="1"/>
            </w:tcBorders>
          </w:tcPr>
          <w:p>
            <w:r>
              <w:t xml:space="preserve">Head of Information Security (security@ostrai.io)</w:t>
            </w:r>
          </w:p>
        </w:tc>
      </w:tr>
      <w:tr>
        <w:tc>
          <w:tcPr>
            <w:tcW w:type="dxa" w:w="2340"/>
            <w:tcBorders>
              <w:top w:val="single" w:color="CCCCCC" w:sz="1"/>
              <w:left w:val="single" w:color="CCCCCC" w:sz="1"/>
              <w:bottom w:val="single" w:color="CCCCCC" w:sz="1"/>
              <w:right w:val="single" w:color="CCCCCC" w:sz="1"/>
            </w:tcBorders>
            <w:shd w:fill="ECF0F1" w:val="clear"/>
          </w:tcPr>
          <w:p>
            <w:r>
              <w:rPr>
                <w:b/>
                <w:bCs/>
              </w:rPr>
              <w:t xml:space="preserve">Review Cycle</w:t>
            </w:r>
          </w:p>
        </w:tc>
        <w:tc>
          <w:tcPr>
            <w:tcW w:type="dxa" w:w="6840"/>
            <w:tcBorders>
              <w:top w:val="single" w:color="CCCCCC" w:sz="1"/>
              <w:left w:val="single" w:color="CCCCCC" w:sz="1"/>
              <w:bottom w:val="single" w:color="CCCCCC" w:sz="1"/>
              <w:right w:val="single" w:color="CCCCCC" w:sz="1"/>
            </w:tcBorders>
          </w:tcPr>
          <w:p>
            <w:r>
              <w:t xml:space="preserve">Annually or upon significant organizational change</w:t>
            </w:r>
          </w:p>
        </w:tc>
      </w:tr>
      <w:tr>
        <w:tc>
          <w:tcPr>
            <w:tcW w:type="dxa" w:w="2340"/>
            <w:tcBorders>
              <w:top w:val="single" w:color="CCCCCC" w:sz="1"/>
              <w:left w:val="single" w:color="CCCCCC" w:sz="1"/>
              <w:bottom w:val="single" w:color="CCCCCC" w:sz="1"/>
              <w:right w:val="single" w:color="CCCCCC" w:sz="1"/>
            </w:tcBorders>
            <w:shd w:fill="ECF0F1" w:val="clear"/>
          </w:tcPr>
          <w:p>
            <w:r>
              <w:rPr>
                <w:b/>
                <w:bCs/>
              </w:rPr>
              <w:t xml:space="preserve">Last Reviewed</w:t>
            </w:r>
          </w:p>
        </w:tc>
        <w:tc>
          <w:tcPr>
            <w:tcW w:type="dxa" w:w="6840"/>
            <w:tcBorders>
              <w:top w:val="single" w:color="CCCCCC" w:sz="1"/>
              <w:left w:val="single" w:color="CCCCCC" w:sz="1"/>
              <w:bottom w:val="single" w:color="CCCCCC" w:sz="1"/>
              <w:right w:val="single" w:color="CCCCCC" w:sz="1"/>
            </w:tcBorders>
          </w:tcPr>
          <w:p>
            <w:r>
              <w:t xml:space="preserve">October 2, 2025</w:t>
            </w:r>
          </w:p>
        </w:tc>
      </w:tr>
      <w:tr>
        <w:tc>
          <w:tcPr>
            <w:tcW w:type="dxa" w:w="2340"/>
            <w:tcBorders>
              <w:top w:val="single" w:color="CCCCCC" w:sz="1"/>
              <w:left w:val="single" w:color="CCCCCC" w:sz="1"/>
              <w:bottom w:val="single" w:color="CCCCCC" w:sz="1"/>
              <w:right w:val="single" w:color="CCCCCC" w:sz="1"/>
            </w:tcBorders>
            <w:shd w:fill="ECF0F1" w:val="clear"/>
          </w:tcPr>
          <w:p>
            <w:r>
              <w:rPr>
                <w:b/>
                <w:bCs/>
              </w:rPr>
              <w:t xml:space="preserve">Applies To</w:t>
            </w:r>
          </w:p>
        </w:tc>
        <w:tc>
          <w:tcPr>
            <w:tcW w:type="dxa" w:w="6840"/>
            <w:tcBorders>
              <w:top w:val="single" w:color="CCCCCC" w:sz="1"/>
              <w:left w:val="single" w:color="CCCCCC" w:sz="1"/>
              <w:bottom w:val="single" w:color="CCCCCC" w:sz="1"/>
              <w:right w:val="single" w:color="CCCCCC" w:sz="1"/>
            </w:tcBorders>
          </w:tcPr>
          <w:p>
            <w:r>
              <w:t xml:space="preserve">All Ostrai employees, contractors, and third-party service providers</w:t>
            </w:r>
          </w:p>
        </w:tc>
      </w:tr>
    </w:tbl>
    <w:p>
      <w:pPr>
        <w:spacing w:before="360"/>
      </w:pPr>
    </w:p>
    <w:p>
      <w:pPr>
        <w:pStyle w:val="Heading1"/>
      </w:pPr>
      <w:r>
        <w:t xml:space="preserve">1. Purpose</w:t>
      </w:r>
    </w:p>
    <w:p>
      <w:pPr>
        <w:spacing w:after="180"/>
      </w:pPr>
      <w:r>
        <w:rPr>
          <w:b w:val="false"/>
          <w:bCs w:val="false"/>
        </w:rPr>
        <w:t xml:space="preserve">This Access Control Policy establishes requirements for managing user access to Ostrai information systems, applications, and data. The policy ensures that access rights are granted based on business need, comply with the principle of least privilege, and align with SOC 2, ISO/IEC 27001, and HIPAA security requirements.</w:t>
      </w:r>
    </w:p>
    <w:p>
      <w:pPr>
        <w:pStyle w:val="Heading1"/>
      </w:pPr>
      <w:r>
        <w:t xml:space="preserve">2. Scope</w:t>
      </w:r>
    </w:p>
    <w:p>
      <w:pPr>
        <w:spacing w:after="180"/>
      </w:pPr>
      <w:r>
        <w:rPr>
          <w:b w:val="false"/>
          <w:bCs w:val="false"/>
        </w:rPr>
        <w:t xml:space="preserve">This policy applies to:</w:t>
      </w:r>
    </w:p>
    <w:p>
      <w:pPr>
        <w:pStyle w:val="ListParagraph"/>
        <w:numPr>
          <w:ilvl w:val="0"/>
          <w:numId w:val="2"/>
        </w:numPr>
        <w:spacing w:after="0"/>
      </w:pPr>
      <w:r>
        <w:t xml:space="preserve">All production systems hosting customer data in AWS us-east-1</w:t>
      </w:r>
    </w:p>
    <w:p>
      <w:pPr>
        <w:pStyle w:val="ListParagraph"/>
        <w:numPr>
          <w:ilvl w:val="0"/>
          <w:numId w:val="2"/>
        </w:numPr>
        <w:spacing w:after="0"/>
      </w:pPr>
      <w:r>
        <w:t xml:space="preserve">Identity providers including Clerk, Google Workspace, and Okta</w:t>
      </w:r>
    </w:p>
    <w:p>
      <w:pPr>
        <w:pStyle w:val="ListParagraph"/>
        <w:numPr>
          <w:ilvl w:val="0"/>
          <w:numId w:val="2"/>
        </w:numPr>
        <w:spacing w:after="0"/>
      </w:pPr>
      <w:r>
        <w:t xml:space="preserve">Collaboration tools such as Slack, Jira, and Notion</w:t>
      </w:r>
    </w:p>
    <w:p>
      <w:pPr>
        <w:pStyle w:val="ListParagraph"/>
        <w:numPr>
          <w:ilvl w:val="0"/>
          <w:numId w:val="2"/>
        </w:numPr>
        <w:spacing w:after="0"/>
      </w:pPr>
      <w:r>
        <w:t xml:space="preserve">Development, staging, and production environments</w:t>
      </w:r>
    </w:p>
    <w:p>
      <w:pPr>
        <w:pStyle w:val="ListParagraph"/>
        <w:numPr>
          <w:ilvl w:val="0"/>
          <w:numId w:val="2"/>
        </w:numPr>
        <w:spacing w:after="0"/>
      </w:pPr>
      <w:r>
        <w:t xml:space="preserve">All personnel with access to Ostrai systems, regardless of employment status</w:t>
      </w:r>
    </w:p>
    <w:p>
      <w:pPr>
        <w:pStyle w:val="Heading1"/>
      </w:pPr>
      <w:r>
        <w:t xml:space="preserve">3. Roles and Responsibilities</w:t>
      </w:r>
    </w:p>
    <w:p>
      <w:pPr>
        <w:pStyle w:val="Heading2"/>
      </w:pPr>
      <w:r>
        <w:t xml:space="preserve">3.1 Information Security Team</w:t>
      </w:r>
    </w:p>
    <w:p>
      <w:pPr>
        <w:pStyle w:val="ListParagraph"/>
        <w:numPr>
          <w:ilvl w:val="0"/>
          <w:numId w:val="2"/>
        </w:numPr>
        <w:spacing w:after="0"/>
      </w:pPr>
      <w:r>
        <w:t xml:space="preserve">Approve access provisioning for privileged and production systems</w:t>
      </w:r>
    </w:p>
    <w:p>
      <w:pPr>
        <w:pStyle w:val="ListParagraph"/>
        <w:numPr>
          <w:ilvl w:val="0"/>
          <w:numId w:val="2"/>
        </w:numPr>
        <w:spacing w:after="0"/>
      </w:pPr>
      <w:r>
        <w:t xml:space="preserve">Conduct quarterly access reviews for all privileged accounts</w:t>
      </w:r>
    </w:p>
    <w:p>
      <w:pPr>
        <w:pStyle w:val="ListParagraph"/>
        <w:numPr>
          <w:ilvl w:val="0"/>
          <w:numId w:val="2"/>
        </w:numPr>
        <w:spacing w:after="0"/>
      </w:pPr>
      <w:r>
        <w:t xml:space="preserve">Monitor authentication logs for anomalous activity</w:t>
      </w:r>
    </w:p>
    <w:p>
      <w:pPr>
        <w:pStyle w:val="ListParagraph"/>
        <w:numPr>
          <w:ilvl w:val="0"/>
          <w:numId w:val="2"/>
        </w:numPr>
        <w:spacing w:after="0"/>
      </w:pPr>
      <w:r>
        <w:t xml:space="preserve">Maintain documentation of access control procedures</w:t>
      </w:r>
    </w:p>
    <w:p>
      <w:pPr>
        <w:pStyle w:val="Heading2"/>
      </w:pPr>
      <w:r>
        <w:t xml:space="preserve">3.2 Managers</w:t>
      </w:r>
    </w:p>
    <w:p>
      <w:pPr>
        <w:pStyle w:val="ListParagraph"/>
        <w:numPr>
          <w:ilvl w:val="0"/>
          <w:numId w:val="2"/>
        </w:numPr>
        <w:spacing w:after="0"/>
      </w:pPr>
      <w:r>
        <w:t xml:space="preserve">Approve access requests for team members based on role requirements</w:t>
      </w:r>
    </w:p>
    <w:p>
      <w:pPr>
        <w:pStyle w:val="ListParagraph"/>
        <w:numPr>
          <w:ilvl w:val="0"/>
          <w:numId w:val="2"/>
        </w:numPr>
        <w:spacing w:after="0"/>
      </w:pPr>
      <w:r>
        <w:t xml:space="preserve">Participate in quarterly access recertification for direct reports</w:t>
      </w:r>
    </w:p>
    <w:p>
      <w:pPr>
        <w:pStyle w:val="ListParagraph"/>
        <w:numPr>
          <w:ilvl w:val="0"/>
          <w:numId w:val="2"/>
        </w:numPr>
        <w:spacing w:after="0"/>
      </w:pPr>
      <w:r>
        <w:t xml:space="preserve">Notify IT Security immediately upon employee termination or role change</w:t>
      </w:r>
    </w:p>
    <w:p>
      <w:pPr>
        <w:pStyle w:val="Heading2"/>
      </w:pPr>
      <w:r>
        <w:t xml:space="preserve">3.3 System Owners</w:t>
      </w:r>
    </w:p>
    <w:p>
      <w:pPr>
        <w:pStyle w:val="ListParagraph"/>
        <w:numPr>
          <w:ilvl w:val="0"/>
          <w:numId w:val="2"/>
        </w:numPr>
        <w:spacing w:after="0"/>
      </w:pPr>
      <w:r>
        <w:t xml:space="preserve">Define access requirements for applications and systems under their control</w:t>
      </w:r>
    </w:p>
    <w:p>
      <w:pPr>
        <w:pStyle w:val="ListParagraph"/>
        <w:numPr>
          <w:ilvl w:val="0"/>
          <w:numId w:val="2"/>
        </w:numPr>
        <w:spacing w:after="0"/>
      </w:pPr>
      <w:r>
        <w:t xml:space="preserve">Review and approve access to sensitive data repositories</w:t>
      </w:r>
    </w:p>
    <w:p>
      <w:pPr>
        <w:pStyle w:val="ListParagraph"/>
        <w:numPr>
          <w:ilvl w:val="0"/>
          <w:numId w:val="2"/>
        </w:numPr>
        <w:spacing w:after="0"/>
      </w:pPr>
      <w:r>
        <w:t xml:space="preserve">Ensure segregation of duties is maintained within their domain</w:t>
      </w:r>
    </w:p>
    <w:p>
      <w:pPr>
        <w:pStyle w:val="Heading2"/>
      </w:pPr>
      <w:r>
        <w:t xml:space="preserve">3.4 All Users</w:t>
      </w:r>
    </w:p>
    <w:p>
      <w:pPr>
        <w:pStyle w:val="ListParagraph"/>
        <w:numPr>
          <w:ilvl w:val="0"/>
          <w:numId w:val="2"/>
        </w:numPr>
        <w:spacing w:after="0"/>
      </w:pPr>
      <w:r>
        <w:t xml:space="preserve">Safeguard credentials and authentication tokens</w:t>
      </w:r>
    </w:p>
    <w:p>
      <w:pPr>
        <w:pStyle w:val="ListParagraph"/>
        <w:numPr>
          <w:ilvl w:val="0"/>
          <w:numId w:val="2"/>
        </w:numPr>
        <w:spacing w:after="0"/>
      </w:pPr>
      <w:r>
        <w:t xml:space="preserve">Report suspected unauthorized access or credential compromise</w:t>
      </w:r>
    </w:p>
    <w:p>
      <w:pPr>
        <w:pStyle w:val="ListParagraph"/>
        <w:numPr>
          <w:ilvl w:val="0"/>
          <w:numId w:val="2"/>
        </w:numPr>
        <w:spacing w:after="0"/>
      </w:pPr>
      <w:r>
        <w:t xml:space="preserve">Complete annual security awareness training</w:t>
      </w:r>
    </w:p>
    <w:p>
      <w:pPr>
        <w:pStyle w:val="Heading1"/>
      </w:pPr>
      <w:r>
        <w:t xml:space="preserve">4. Access Provisioning</w:t>
      </w:r>
    </w:p>
    <w:p>
      <w:pPr>
        <w:pStyle w:val="Heading2"/>
      </w:pPr>
      <w:r>
        <w:t xml:space="preserve">4.1 Request and Approval Process</w:t>
      </w:r>
    </w:p>
    <w:p>
      <w:pPr>
        <w:spacing w:after="180"/>
      </w:pPr>
      <w:r>
        <w:rPr>
          <w:b w:val="false"/>
          <w:bCs w:val="false"/>
        </w:rPr>
        <w:t xml:space="preserve">Access requests must be submitted via the IT ticketing system (Jira) and include:</w:t>
      </w:r>
    </w:p>
    <w:p>
      <w:pPr>
        <w:pStyle w:val="ListParagraph"/>
        <w:numPr>
          <w:ilvl w:val="0"/>
          <w:numId w:val="2"/>
        </w:numPr>
        <w:spacing w:after="0"/>
      </w:pPr>
      <w:r>
        <w:t xml:space="preserve">Requestor name and department</w:t>
      </w:r>
    </w:p>
    <w:p>
      <w:pPr>
        <w:pStyle w:val="ListParagraph"/>
        <w:numPr>
          <w:ilvl w:val="0"/>
          <w:numId w:val="2"/>
        </w:numPr>
        <w:spacing w:after="0"/>
      </w:pPr>
      <w:r>
        <w:t xml:space="preserve">System or application requiring access</w:t>
      </w:r>
    </w:p>
    <w:p>
      <w:pPr>
        <w:pStyle w:val="ListParagraph"/>
        <w:numPr>
          <w:ilvl w:val="0"/>
          <w:numId w:val="2"/>
        </w:numPr>
        <w:spacing w:after="0"/>
      </w:pPr>
      <w:r>
        <w:t xml:space="preserve">Specific access level requested (read-only, read-write, admin)</w:t>
      </w:r>
    </w:p>
    <w:p>
      <w:pPr>
        <w:pStyle w:val="ListParagraph"/>
        <w:numPr>
          <w:ilvl w:val="0"/>
          <w:numId w:val="2"/>
        </w:numPr>
        <w:spacing w:after="0"/>
      </w:pPr>
      <w:r>
        <w:t xml:space="preserve">Business justification</w:t>
      </w:r>
    </w:p>
    <w:p>
      <w:pPr>
        <w:pStyle w:val="ListParagraph"/>
        <w:numPr>
          <w:ilvl w:val="0"/>
          <w:numId w:val="2"/>
        </w:numPr>
        <w:spacing w:after="0"/>
      </w:pPr>
      <w:r>
        <w:t xml:space="preserve">Duration of access (if temporary)</w:t>
      </w:r>
    </w:p>
    <w:p>
      <w:pPr>
        <w:spacing w:after="180"/>
      </w:pPr>
      <w:r>
        <w:rPr>
          <w:b/>
          <w:bCs/>
        </w:rPr>
        <w:t xml:space="preserve">Approval requirements:</w:t>
      </w:r>
    </w:p>
    <w:p>
      <w:pPr>
        <w:pStyle w:val="ListParagraph"/>
        <w:numPr>
          <w:ilvl w:val="0"/>
          <w:numId w:val="2"/>
        </w:numPr>
        <w:spacing w:after="0"/>
      </w:pPr>
      <w:r>
        <w:t xml:space="preserve">Standard access: Manager approval required</w:t>
      </w:r>
    </w:p>
    <w:p>
      <w:pPr>
        <w:pStyle w:val="ListParagraph"/>
        <w:numPr>
          <w:ilvl w:val="0"/>
          <w:numId w:val="2"/>
        </w:numPr>
        <w:spacing w:after="0"/>
      </w:pPr>
      <w:r>
        <w:t xml:space="preserve">Production system access: Manager + System Owner approval required</w:t>
      </w:r>
    </w:p>
    <w:p>
      <w:pPr>
        <w:pStyle w:val="ListParagraph"/>
        <w:numPr>
          <w:ilvl w:val="0"/>
          <w:numId w:val="2"/>
        </w:numPr>
        <w:spacing w:after="0"/>
      </w:pPr>
      <w:r>
        <w:t xml:space="preserve">Privileged/administrative access: Manager + System Owner + Security approval required</w:t>
      </w:r>
    </w:p>
    <w:p>
      <w:pPr>
        <w:pStyle w:val="Heading2"/>
      </w:pPr>
      <w:r>
        <w:t xml:space="preserve">4.2 Principle of Least Privilege</w:t>
      </w:r>
    </w:p>
    <w:p>
      <w:pPr>
        <w:spacing w:after="180"/>
      </w:pPr>
      <w:r>
        <w:rPr>
          <w:b w:val="false"/>
          <w:bCs w:val="false"/>
        </w:rPr>
        <w:t xml:space="preserve">Users shall be granted the minimum level of access necessary to perform their job functions. Default access is read-only unless write or administrative privileges are explicitly justified and approved.</w:t>
      </w:r>
    </w:p>
    <w:p>
      <w:pPr>
        <w:pStyle w:val="Heading2"/>
      </w:pPr>
      <w:r>
        <w:t xml:space="preserve">4.3 Temporary Access</w:t>
      </w:r>
    </w:p>
    <w:p>
      <w:pPr>
        <w:spacing w:after="180"/>
      </w:pPr>
      <w:r>
        <w:rPr>
          <w:b w:val="false"/>
          <w:bCs w:val="false"/>
        </w:rPr>
        <w:t xml:space="preserve">Temporary access for contractors, vendors, or time-limited projects must specify an expiration date. Access will be automatically revoked upon expiration unless renewal is requested and approved. Maximum temporary access duration is 90 days without review.</w:t>
      </w:r>
    </w:p>
    <w:p>
      <w:pPr>
        <w:pStyle w:val="Heading1"/>
      </w:pPr>
      <w:r>
        <w:t xml:space="preserve">5. Authentication Requirements</w:t>
      </w:r>
    </w:p>
    <w:p>
      <w:pPr>
        <w:pStyle w:val="Heading2"/>
      </w:pPr>
      <w:r>
        <w:t xml:space="preserve">5.1 Multi-Factor Authentication (MFA)</w:t>
      </w:r>
    </w:p>
    <w:p>
      <w:pPr>
        <w:spacing w:after="180"/>
      </w:pPr>
      <w:r>
        <w:rPr>
          <w:b w:val="false"/>
          <w:bCs w:val="false"/>
        </w:rPr>
        <w:t xml:space="preserve">MFA is mandatory for:</w:t>
      </w:r>
    </w:p>
    <w:p>
      <w:pPr>
        <w:pStyle w:val="ListParagraph"/>
        <w:numPr>
          <w:ilvl w:val="0"/>
          <w:numId w:val="2"/>
        </w:numPr>
        <w:spacing w:after="0"/>
      </w:pPr>
      <w:r>
        <w:t xml:space="preserve">All production system access</w:t>
      </w:r>
    </w:p>
    <w:p>
      <w:pPr>
        <w:pStyle w:val="ListParagraph"/>
        <w:numPr>
          <w:ilvl w:val="0"/>
          <w:numId w:val="2"/>
        </w:numPr>
        <w:spacing w:after="0"/>
      </w:pPr>
      <w:r>
        <w:t xml:space="preserve">Administrative or privileged accounts</w:t>
      </w:r>
    </w:p>
    <w:p>
      <w:pPr>
        <w:pStyle w:val="ListParagraph"/>
        <w:numPr>
          <w:ilvl w:val="0"/>
          <w:numId w:val="2"/>
        </w:numPr>
        <w:spacing w:after="0"/>
      </w:pPr>
      <w:r>
        <w:t xml:space="preserve">Remote access to corporate network</w:t>
      </w:r>
    </w:p>
    <w:p>
      <w:pPr>
        <w:pStyle w:val="ListParagraph"/>
        <w:numPr>
          <w:ilvl w:val="0"/>
          <w:numId w:val="2"/>
        </w:numPr>
        <w:spacing w:after="0"/>
      </w:pPr>
      <w:r>
        <w:t xml:space="preserve">Access to customer data or protected health information (PHI)</w:t>
      </w:r>
    </w:p>
    <w:p>
      <w:pPr>
        <w:pStyle w:val="ListParagraph"/>
        <w:numPr>
          <w:ilvl w:val="0"/>
          <w:numId w:val="2"/>
        </w:numPr>
        <w:spacing w:after="0"/>
      </w:pPr>
      <w:r>
        <w:t xml:space="preserve">Email and collaboration platforms (Google Workspace, Slack)</w:t>
      </w:r>
    </w:p>
    <w:p>
      <w:pPr>
        <w:spacing w:after="180"/>
      </w:pPr>
      <w:r>
        <w:rPr>
          <w:b w:val="false"/>
          <w:bCs w:val="false"/>
        </w:rPr>
        <w:t xml:space="preserve">Approved MFA methods include hardware tokens, authenticator apps (Google Authenticator, Authy), or biometric authentication. SMS-based MFA is permitted only when no alternative is available.</w:t>
      </w:r>
    </w:p>
    <w:p>
      <w:pPr>
        <w:pStyle w:val="Heading2"/>
      </w:pPr>
      <w:r>
        <w:t xml:space="preserve">5.2 Password Requirements</w:t>
      </w:r>
    </w:p>
    <w:p>
      <w:pPr>
        <w:pStyle w:val="ListParagraph"/>
        <w:numPr>
          <w:ilvl w:val="0"/>
          <w:numId w:val="2"/>
        </w:numPr>
        <w:spacing w:after="0"/>
      </w:pPr>
      <w:r>
        <w:t xml:space="preserve">Minimum 12 characters in length</w:t>
      </w:r>
    </w:p>
    <w:p>
      <w:pPr>
        <w:pStyle w:val="ListParagraph"/>
        <w:numPr>
          <w:ilvl w:val="0"/>
          <w:numId w:val="2"/>
        </w:numPr>
        <w:spacing w:after="0"/>
      </w:pPr>
      <w:r>
        <w:t xml:space="preserve">Combination of uppercase, lowercase, numbers, and special characters</w:t>
      </w:r>
    </w:p>
    <w:p>
      <w:pPr>
        <w:pStyle w:val="ListParagraph"/>
        <w:numPr>
          <w:ilvl w:val="0"/>
          <w:numId w:val="2"/>
        </w:numPr>
        <w:spacing w:after="0"/>
      </w:pPr>
      <w:r>
        <w:t xml:space="preserve">No reuse of previous 5 passwords</w:t>
      </w:r>
    </w:p>
    <w:p>
      <w:pPr>
        <w:pStyle w:val="ListParagraph"/>
        <w:numPr>
          <w:ilvl w:val="0"/>
          <w:numId w:val="2"/>
        </w:numPr>
        <w:spacing w:after="0"/>
      </w:pPr>
      <w:r>
        <w:t xml:space="preserve">Changed every 90 days for privileged accounts</w:t>
      </w:r>
    </w:p>
    <w:p>
      <w:pPr>
        <w:pStyle w:val="ListParagraph"/>
        <w:numPr>
          <w:ilvl w:val="0"/>
          <w:numId w:val="2"/>
        </w:numPr>
        <w:spacing w:after="0"/>
      </w:pPr>
      <w:r>
        <w:t xml:space="preserve">Cannot contain dictionary words, usernames, or company name</w:t>
      </w:r>
    </w:p>
    <w:p>
      <w:pPr>
        <w:pStyle w:val="ListParagraph"/>
        <w:numPr>
          <w:ilvl w:val="0"/>
          <w:numId w:val="2"/>
        </w:numPr>
        <w:spacing w:after="0"/>
      </w:pPr>
      <w:r>
        <w:t xml:space="preserve">Must be stored in approved password manager (1Password, LastPass Enterprise)</w:t>
      </w:r>
    </w:p>
    <w:p>
      <w:pPr>
        <w:pStyle w:val="Heading2"/>
      </w:pPr>
      <w:r>
        <w:t xml:space="preserve">5.3 Account Lockout</w:t>
      </w:r>
    </w:p>
    <w:p>
      <w:pPr>
        <w:spacing w:after="180"/>
      </w:pPr>
      <w:r>
        <w:rPr>
          <w:b w:val="false"/>
          <w:bCs w:val="false"/>
        </w:rPr>
        <w:t xml:space="preserve">After 5 consecutive failed authentication attempts, accounts will be locked for 30 minutes. Repeated lockouts trigger security review and may require password reset via IT Support.</w:t>
      </w:r>
    </w:p>
    <w:p>
      <w:pPr>
        <w:pStyle w:val="Heading2"/>
      </w:pPr>
      <w:r>
        <w:t xml:space="preserve">5.4 Session Management</w:t>
      </w:r>
    </w:p>
    <w:p>
      <w:pPr>
        <w:pStyle w:val="ListParagraph"/>
        <w:numPr>
          <w:ilvl w:val="0"/>
          <w:numId w:val="2"/>
        </w:numPr>
        <w:spacing w:after="0"/>
      </w:pPr>
      <w:r>
        <w:t xml:space="preserve">Production system sessions timeout after 15 minutes of inactivity</w:t>
      </w:r>
    </w:p>
    <w:p>
      <w:pPr>
        <w:pStyle w:val="ListParagraph"/>
        <w:numPr>
          <w:ilvl w:val="0"/>
          <w:numId w:val="2"/>
        </w:numPr>
        <w:spacing w:after="0"/>
      </w:pPr>
      <w:r>
        <w:t xml:space="preserve">Administrative sessions timeout after 10 minutes of inactivity</w:t>
      </w:r>
    </w:p>
    <w:p>
      <w:pPr>
        <w:pStyle w:val="ListParagraph"/>
        <w:numPr>
          <w:ilvl w:val="0"/>
          <w:numId w:val="2"/>
        </w:numPr>
        <w:spacing w:after="0"/>
      </w:pPr>
      <w:r>
        <w:t xml:space="preserve">Users must explicitly log out when leaving workstations unattended</w:t>
      </w:r>
    </w:p>
    <w:p>
      <w:pPr>
        <w:pStyle w:val="Heading1"/>
      </w:pPr>
      <w:r>
        <w:t xml:space="preserve">6. Access Reviews</w:t>
      </w:r>
    </w:p>
    <w:p>
      <w:pPr>
        <w:pStyle w:val="Heading2"/>
      </w:pPr>
      <w:r>
        <w:t xml:space="preserve">6.1 Quarterly Reviews</w:t>
      </w:r>
    </w:p>
    <w:p>
      <w:pPr>
        <w:spacing w:after="180"/>
      </w:pPr>
      <w:r>
        <w:rPr>
          <w:b w:val="false"/>
          <w:bCs w:val="false"/>
        </w:rPr>
        <w:t xml:space="preserve">The Information Security team conducts quarterly access recertification for all privileged accounts (root, admin, service accounts). Managers review access for their direct reports and certify appropriateness. Unverified or unnecessary access is revoked.</w:t>
      </w:r>
    </w:p>
    <w:p>
      <w:pPr>
        <w:pStyle w:val="Heading2"/>
      </w:pPr>
      <w:r>
        <w:t xml:space="preserve">6.2 Annual Comprehensive Review</w:t>
      </w:r>
    </w:p>
    <w:p>
      <w:pPr>
        <w:spacing w:after="180"/>
      </w:pPr>
      <w:r>
        <w:rPr>
          <w:b w:val="false"/>
          <w:bCs w:val="false"/>
        </w:rPr>
        <w:t xml:space="preserve">An annual comprehensive access review is performed across all systems. System owners validate access for all users within their domain. Results are documented and submitted to the Head of Information Security.</w:t>
      </w:r>
    </w:p>
    <w:p>
      <w:pPr>
        <w:pStyle w:val="Heading2"/>
      </w:pPr>
      <w:r>
        <w:t xml:space="preserve">6.3 Role Change Review</w:t>
      </w:r>
    </w:p>
    <w:p>
      <w:pPr>
        <w:spacing w:after="180"/>
      </w:pPr>
      <w:r>
        <w:rPr>
          <w:b w:val="false"/>
          <w:bCs w:val="false"/>
        </w:rPr>
        <w:t xml:space="preserve">When an employee changes roles or departments, access must be reviewed and adjusted within 5 business days. Previous role access is revoked, and new role access is provisioned following standard approval workflows.</w:t>
      </w:r>
    </w:p>
    <w:p>
      <w:pPr>
        <w:pStyle w:val="Heading1"/>
      </w:pPr>
      <w:r>
        <w:t xml:space="preserve">7. Access Termination</w:t>
      </w:r>
    </w:p>
    <w:p>
      <w:pPr>
        <w:pStyle w:val="Heading2"/>
      </w:pPr>
      <w:r>
        <w:t xml:space="preserve">7.1 Employee Termination</w:t>
      </w:r>
    </w:p>
    <w:p>
      <w:pPr>
        <w:spacing w:after="180"/>
      </w:pPr>
      <w:r>
        <w:rPr>
          <w:b w:val="false"/>
          <w:bCs w:val="false"/>
        </w:rPr>
        <w:t xml:space="preserve">Upon employee termination, the following must occur within 2 hours:</w:t>
      </w:r>
    </w:p>
    <w:p>
      <w:pPr>
        <w:pStyle w:val="ListParagraph"/>
        <w:numPr>
          <w:ilvl w:val="0"/>
          <w:numId w:val="2"/>
        </w:numPr>
        <w:spacing w:after="0"/>
      </w:pPr>
      <w:r>
        <w:t xml:space="preserve">Disable all corporate accounts (Google Workspace, Slack, Okta)</w:t>
      </w:r>
    </w:p>
    <w:p>
      <w:pPr>
        <w:pStyle w:val="ListParagraph"/>
        <w:numPr>
          <w:ilvl w:val="0"/>
          <w:numId w:val="2"/>
        </w:numPr>
        <w:spacing w:after="0"/>
      </w:pPr>
      <w:r>
        <w:t xml:space="preserve">Revoke VPN and remote access credentials</w:t>
      </w:r>
    </w:p>
    <w:p>
      <w:pPr>
        <w:pStyle w:val="ListParagraph"/>
        <w:numPr>
          <w:ilvl w:val="0"/>
          <w:numId w:val="2"/>
        </w:numPr>
        <w:spacing w:after="0"/>
      </w:pPr>
      <w:r>
        <w:t xml:space="preserve">Disable AWS IAM user and service accounts</w:t>
      </w:r>
    </w:p>
    <w:p>
      <w:pPr>
        <w:pStyle w:val="ListParagraph"/>
        <w:numPr>
          <w:ilvl w:val="0"/>
          <w:numId w:val="2"/>
        </w:numPr>
        <w:spacing w:after="0"/>
      </w:pPr>
      <w:r>
        <w:t xml:space="preserve">Remove from all Jira, GitHub, and collaboration tools</w:t>
      </w:r>
    </w:p>
    <w:p>
      <w:pPr>
        <w:pStyle w:val="ListParagraph"/>
        <w:numPr>
          <w:ilvl w:val="0"/>
          <w:numId w:val="2"/>
        </w:numPr>
        <w:spacing w:after="0"/>
      </w:pPr>
      <w:r>
        <w:t xml:space="preserve">Collect company-issued hardware and access badges</w:t>
      </w:r>
    </w:p>
    <w:p>
      <w:pPr>
        <w:pStyle w:val="Heading2"/>
      </w:pPr>
      <w:r>
        <w:t xml:space="preserve">7.2 Contractor/Vendor Termination</w:t>
      </w:r>
    </w:p>
    <w:p>
      <w:pPr>
        <w:spacing w:after="180"/>
      </w:pPr>
      <w:r>
        <w:rPr>
          <w:b w:val="false"/>
          <w:bCs w:val="false"/>
        </w:rPr>
        <w:t xml:space="preserve">When a contractor or vendor relationship ends, access is revoked immediately upon contract expiration or termination notice. The System Owner verifies removal and documents completion in the vendor management system.</w:t>
      </w:r>
    </w:p>
    <w:p>
      <w:pPr>
        <w:pStyle w:val="Heading1"/>
      </w:pPr>
      <w:r>
        <w:t xml:space="preserve">8. Privileged Access Management</w:t>
      </w:r>
    </w:p>
    <w:p>
      <w:pPr>
        <w:pStyle w:val="Heading2"/>
      </w:pPr>
      <w:r>
        <w:t xml:space="preserve">8.1 Definition</w:t>
      </w:r>
    </w:p>
    <w:p>
      <w:pPr>
        <w:spacing w:after="180"/>
      </w:pPr>
      <w:r>
        <w:rPr>
          <w:b w:val="false"/>
          <w:bCs w:val="false"/>
        </w:rPr>
        <w:t xml:space="preserve">Privileged accounts include:</w:t>
      </w:r>
    </w:p>
    <w:p>
      <w:pPr>
        <w:pStyle w:val="ListParagraph"/>
        <w:numPr>
          <w:ilvl w:val="0"/>
          <w:numId w:val="2"/>
        </w:numPr>
        <w:spacing w:after="0"/>
      </w:pPr>
      <w:r>
        <w:t xml:space="preserve">Root, admin, or superuser accounts</w:t>
      </w:r>
    </w:p>
    <w:p>
      <w:pPr>
        <w:pStyle w:val="ListParagraph"/>
        <w:numPr>
          <w:ilvl w:val="0"/>
          <w:numId w:val="2"/>
        </w:numPr>
        <w:spacing w:after="0"/>
      </w:pPr>
      <w:r>
        <w:t xml:space="preserve">Database administrator accounts</w:t>
      </w:r>
    </w:p>
    <w:p>
      <w:pPr>
        <w:pStyle w:val="ListParagraph"/>
        <w:numPr>
          <w:ilvl w:val="0"/>
          <w:numId w:val="2"/>
        </w:numPr>
        <w:spacing w:after="0"/>
      </w:pPr>
      <w:r>
        <w:t xml:space="preserve">AWS IAM roles with production write access</w:t>
      </w:r>
    </w:p>
    <w:p>
      <w:pPr>
        <w:pStyle w:val="ListParagraph"/>
        <w:numPr>
          <w:ilvl w:val="0"/>
          <w:numId w:val="2"/>
        </w:numPr>
        <w:spacing w:after="0"/>
      </w:pPr>
      <w:r>
        <w:t xml:space="preserve">Service accounts with elevated permissions</w:t>
      </w:r>
    </w:p>
    <w:p>
      <w:pPr>
        <w:pStyle w:val="ListParagraph"/>
        <w:numPr>
          <w:ilvl w:val="0"/>
          <w:numId w:val="2"/>
        </w:numPr>
        <w:spacing w:after="0"/>
      </w:pPr>
      <w:r>
        <w:t xml:space="preserve">Accounts capable of modifying security settings or access controls</w:t>
      </w:r>
    </w:p>
    <w:p>
      <w:pPr>
        <w:pStyle w:val="Heading2"/>
      </w:pPr>
      <w:r>
        <w:t xml:space="preserve">8.2 Privileged Access Controls</w:t>
      </w:r>
    </w:p>
    <w:p>
      <w:pPr>
        <w:pStyle w:val="ListParagraph"/>
        <w:numPr>
          <w:ilvl w:val="0"/>
          <w:numId w:val="2"/>
        </w:numPr>
        <w:spacing w:after="0"/>
      </w:pPr>
      <w:r>
        <w:t xml:space="preserve">Privileged access requires approval from both System Owner and Head of Security</w:t>
      </w:r>
    </w:p>
    <w:p>
      <w:pPr>
        <w:pStyle w:val="ListParagraph"/>
        <w:numPr>
          <w:ilvl w:val="0"/>
          <w:numId w:val="2"/>
        </w:numPr>
        <w:spacing w:after="0"/>
      </w:pPr>
      <w:r>
        <w:t xml:space="preserve">Shared privileged accounts are prohibited; individual named accounts required</w:t>
      </w:r>
    </w:p>
    <w:p>
      <w:pPr>
        <w:pStyle w:val="ListParagraph"/>
        <w:numPr>
          <w:ilvl w:val="0"/>
          <w:numId w:val="2"/>
        </w:numPr>
        <w:spacing w:after="0"/>
      </w:pPr>
      <w:r>
        <w:t xml:space="preserve">All privileged activity is logged and monitored via SIEM</w:t>
      </w:r>
    </w:p>
    <w:p>
      <w:pPr>
        <w:pStyle w:val="ListParagraph"/>
        <w:numPr>
          <w:ilvl w:val="0"/>
          <w:numId w:val="2"/>
        </w:numPr>
        <w:spacing w:after="0"/>
      </w:pPr>
      <w:r>
        <w:t xml:space="preserve">Privileged sessions recorded for audit purposes</w:t>
      </w:r>
    </w:p>
    <w:p>
      <w:pPr>
        <w:pStyle w:val="ListParagraph"/>
        <w:numPr>
          <w:ilvl w:val="0"/>
          <w:numId w:val="2"/>
        </w:numPr>
        <w:spacing w:after="0"/>
      </w:pPr>
      <w:r>
        <w:t xml:space="preserve">Emergency privileged access follows break-glass procedure with post-incident review</w:t>
      </w:r>
    </w:p>
    <w:p>
      <w:pPr>
        <w:pStyle w:val="Heading2"/>
      </w:pPr>
      <w:r>
        <w:t xml:space="preserve">8.3 Service Accounts</w:t>
      </w:r>
    </w:p>
    <w:p>
      <w:pPr>
        <w:spacing w:after="180"/>
      </w:pPr>
      <w:r>
        <w:rPr>
          <w:b w:val="false"/>
          <w:bCs w:val="false"/>
        </w:rPr>
        <w:t xml:space="preserve">Service accounts must be documented with owner, purpose, systems accessed, and expiration date. Credentials are rotated every 90 days and stored in approved secrets management system (AWS Secrets Manager, HashiCorp Vault). Unused service accounts are deactivated after 60 days of inactivity.</w:t>
      </w:r>
    </w:p>
    <w:p>
      <w:pPr>
        <w:pStyle w:val="Heading1"/>
      </w:pPr>
      <w:r>
        <w:t xml:space="preserve">9. Remote Access</w:t>
      </w:r>
    </w:p>
    <w:p>
      <w:pPr>
        <w:pStyle w:val="Heading2"/>
      </w:pPr>
      <w:r>
        <w:t xml:space="preserve">9.1 VPN Requirements</w:t>
      </w:r>
    </w:p>
    <w:p>
      <w:pPr>
        <w:pStyle w:val="ListParagraph"/>
        <w:numPr>
          <w:ilvl w:val="0"/>
          <w:numId w:val="2"/>
        </w:numPr>
        <w:spacing w:after="0"/>
      </w:pPr>
      <w:r>
        <w:t xml:space="preserve">All remote access to production systems must use approved VPN (company-managed VPN client)</w:t>
      </w:r>
    </w:p>
    <w:p>
      <w:pPr>
        <w:pStyle w:val="ListParagraph"/>
        <w:numPr>
          <w:ilvl w:val="0"/>
          <w:numId w:val="2"/>
        </w:numPr>
        <w:spacing w:after="0"/>
      </w:pPr>
      <w:r>
        <w:t xml:space="preserve">VPN access requires MFA authentication</w:t>
      </w:r>
    </w:p>
    <w:p>
      <w:pPr>
        <w:pStyle w:val="ListParagraph"/>
        <w:numPr>
          <w:ilvl w:val="0"/>
          <w:numId w:val="2"/>
        </w:numPr>
        <w:spacing w:after="0"/>
      </w:pPr>
      <w:r>
        <w:t xml:space="preserve">Split-tunnel VPN prohibited for production access</w:t>
      </w:r>
    </w:p>
    <w:p>
      <w:pPr>
        <w:pStyle w:val="ListParagraph"/>
        <w:numPr>
          <w:ilvl w:val="0"/>
          <w:numId w:val="2"/>
        </w:numPr>
        <w:spacing w:after="0"/>
      </w:pPr>
      <w:r>
        <w:t xml:space="preserve">VPN session logs retained for 90 days</w:t>
      </w:r>
    </w:p>
    <w:p>
      <w:pPr>
        <w:pStyle w:val="Heading2"/>
      </w:pPr>
      <w:r>
        <w:t xml:space="preserve">9.2 Remote Desktop/SSH Access</w:t>
      </w:r>
    </w:p>
    <w:p>
      <w:pPr>
        <w:pStyle w:val="ListParagraph"/>
        <w:numPr>
          <w:ilvl w:val="0"/>
          <w:numId w:val="2"/>
        </w:numPr>
        <w:spacing w:after="0"/>
      </w:pPr>
      <w:r>
        <w:t xml:space="preserve">SSH key-based authentication required; password authentication disabled</w:t>
      </w:r>
    </w:p>
    <w:p>
      <w:pPr>
        <w:pStyle w:val="ListParagraph"/>
        <w:numPr>
          <w:ilvl w:val="0"/>
          <w:numId w:val="2"/>
        </w:numPr>
        <w:spacing w:after="0"/>
      </w:pPr>
      <w:r>
        <w:t xml:space="preserve">SSH keys must be 2048-bit RSA minimum or equivalent elliptic curve</w:t>
      </w:r>
    </w:p>
    <w:p>
      <w:pPr>
        <w:pStyle w:val="ListParagraph"/>
        <w:numPr>
          <w:ilvl w:val="0"/>
          <w:numId w:val="2"/>
        </w:numPr>
        <w:spacing w:after="0"/>
      </w:pPr>
      <w:r>
        <w:t xml:space="preserve">Direct internet-facing SSH prohibited; access via bastion host only</w:t>
      </w:r>
    </w:p>
    <w:p>
      <w:pPr>
        <w:pStyle w:val="ListParagraph"/>
        <w:numPr>
          <w:ilvl w:val="0"/>
          <w:numId w:val="2"/>
        </w:numPr>
        <w:spacing w:after="0"/>
      </w:pPr>
      <w:r>
        <w:t xml:space="preserve">Remote desktop sessions require VPN and MFA</w:t>
      </w:r>
    </w:p>
    <w:p>
      <w:pPr>
        <w:pStyle w:val="Heading1"/>
      </w:pPr>
      <w:r>
        <w:t xml:space="preserve">10. Monitoring and Compliance</w:t>
      </w:r>
    </w:p>
    <w:p>
      <w:pPr>
        <w:pStyle w:val="Heading2"/>
      </w:pPr>
      <w:r>
        <w:t xml:space="preserve">10.1 Access Logging</w:t>
      </w:r>
    </w:p>
    <w:p>
      <w:pPr>
        <w:spacing w:after="180"/>
      </w:pPr>
      <w:r>
        <w:rPr>
          <w:b w:val="false"/>
          <w:bCs w:val="false"/>
        </w:rPr>
        <w:t xml:space="preserve">All access attempts are logged and retained for 1 year, including:</w:t>
      </w:r>
    </w:p>
    <w:p>
      <w:pPr>
        <w:pStyle w:val="ListParagraph"/>
        <w:numPr>
          <w:ilvl w:val="0"/>
          <w:numId w:val="2"/>
        </w:numPr>
        <w:spacing w:after="0"/>
      </w:pPr>
      <w:r>
        <w:t xml:space="preserve">Authentication successes and failures</w:t>
      </w:r>
    </w:p>
    <w:p>
      <w:pPr>
        <w:pStyle w:val="ListParagraph"/>
        <w:numPr>
          <w:ilvl w:val="0"/>
          <w:numId w:val="2"/>
        </w:numPr>
        <w:spacing w:after="0"/>
      </w:pPr>
      <w:r>
        <w:t xml:space="preserve">Privileged command execution</w:t>
      </w:r>
    </w:p>
    <w:p>
      <w:pPr>
        <w:pStyle w:val="ListParagraph"/>
        <w:numPr>
          <w:ilvl w:val="0"/>
          <w:numId w:val="2"/>
        </w:numPr>
        <w:spacing w:after="0"/>
      </w:pPr>
      <w:r>
        <w:t xml:space="preserve">Access to sensitive data repositories</w:t>
      </w:r>
    </w:p>
    <w:p>
      <w:pPr>
        <w:pStyle w:val="ListParagraph"/>
        <w:numPr>
          <w:ilvl w:val="0"/>
          <w:numId w:val="2"/>
        </w:numPr>
        <w:spacing w:after="0"/>
      </w:pPr>
      <w:r>
        <w:t xml:space="preserve">Changes to user permissions or security groups</w:t>
      </w:r>
    </w:p>
    <w:p>
      <w:pPr>
        <w:pStyle w:val="Heading2"/>
      </w:pPr>
      <w:r>
        <w:t xml:space="preserve">10.2 Anomaly Detection</w:t>
      </w:r>
    </w:p>
    <w:p>
      <w:pPr>
        <w:spacing w:after="180"/>
      </w:pPr>
      <w:r>
        <w:rPr>
          <w:b w:val="false"/>
          <w:bCs w:val="false"/>
        </w:rPr>
        <w:t xml:space="preserve">Automated monitoring alerts on suspicious patterns such as unusual access times, geographically impossible logins, multiple failed authentication attempts, or privilege escalation. Security Operations investigates and responds to alerts within 4 hours.</w:t>
      </w:r>
    </w:p>
    <w:p>
      <w:pPr>
        <w:pStyle w:val="Heading2"/>
      </w:pPr>
      <w:r>
        <w:t xml:space="preserve">10.3 Compliance Mapping</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3120"/>
        <w:gridCol w:w="6240"/>
      </w:tblGrid>
      <w:tr>
        <w:trPr>
          <w:tblHeader/>
        </w:trPr>
        <w:tc>
          <w:tcPr>
            <w:tcW w:type="dxa" w:w="3120"/>
            <w:tcBorders>
              <w:top w:val="single" w:color="CCCCCC" w:sz="1"/>
              <w:left w:val="single" w:color="CCCCCC" w:sz="1"/>
              <w:bottom w:val="single" w:color="CCCCCC" w:sz="1"/>
              <w:right w:val="single" w:color="CCCCCC" w:sz="1"/>
            </w:tcBorders>
            <w:shd w:fill="3498DB" w:val="clear"/>
          </w:tcPr>
          <w:p>
            <w:pPr>
              <w:jc w:val="center"/>
            </w:pPr>
            <w:r>
              <w:rPr>
                <w:b/>
                <w:bCs/>
                <w:color w:val="FFFFFF"/>
              </w:rPr>
              <w:t xml:space="preserve">Framework</w:t>
            </w:r>
          </w:p>
        </w:tc>
        <w:tc>
          <w:tcPr>
            <w:tcW w:type="dxa" w:w="6240"/>
            <w:tcBorders>
              <w:top w:val="single" w:color="CCCCCC" w:sz="1"/>
              <w:left w:val="single" w:color="CCCCCC" w:sz="1"/>
              <w:bottom w:val="single" w:color="CCCCCC" w:sz="1"/>
              <w:right w:val="single" w:color="CCCCCC" w:sz="1"/>
            </w:tcBorders>
            <w:shd w:fill="3498DB" w:val="clear"/>
          </w:tcPr>
          <w:p>
            <w:pPr>
              <w:jc w:val="center"/>
            </w:pPr>
            <w:r>
              <w:rPr>
                <w:b/>
                <w:bCs/>
                <w:color w:val="FFFFFF"/>
              </w:rPr>
              <w:t xml:space="preserve">Applicable Controls</w:t>
            </w:r>
          </w:p>
        </w:tc>
      </w:tr>
      <w:tr>
        <w:tc>
          <w:tcPr>
            <w:tcW w:type="dxa" w:w="3120"/>
            <w:tcBorders>
              <w:top w:val="single" w:color="CCCCCC" w:sz="1"/>
              <w:left w:val="single" w:color="CCCCCC" w:sz="1"/>
              <w:bottom w:val="single" w:color="CCCCCC" w:sz="1"/>
              <w:right w:val="single" w:color="CCCCCC" w:sz="1"/>
            </w:tcBorders>
          </w:tcPr>
          <w:p>
            <w:r>
              <w:rPr>
                <w:b/>
                <w:bCs/>
              </w:rPr>
              <w:t xml:space="preserve">SOC 2 (TSC 2017)</w:t>
            </w:r>
          </w:p>
        </w:tc>
        <w:tc>
          <w:tcPr>
            <w:tcW w:type="dxa" w:w="6240"/>
            <w:tcBorders>
              <w:top w:val="single" w:color="CCCCCC" w:sz="1"/>
              <w:left w:val="single" w:color="CCCCCC" w:sz="1"/>
              <w:bottom w:val="single" w:color="CCCCCC" w:sz="1"/>
              <w:right w:val="single" w:color="CCCCCC" w:sz="1"/>
            </w:tcBorders>
          </w:tcPr>
          <w:p>
            <w:r>
              <w:t xml:space="preserve">CC6.1, CC6.2, CC6.3 (Logical and Physical Access Controls)</w:t>
            </w:r>
          </w:p>
        </w:tc>
      </w:tr>
      <w:tr>
        <w:tc>
          <w:tcPr>
            <w:tcW w:type="dxa" w:w="3120"/>
            <w:tcBorders>
              <w:top w:val="single" w:color="CCCCCC" w:sz="1"/>
              <w:left w:val="single" w:color="CCCCCC" w:sz="1"/>
              <w:bottom w:val="single" w:color="CCCCCC" w:sz="1"/>
              <w:right w:val="single" w:color="CCCCCC" w:sz="1"/>
            </w:tcBorders>
          </w:tcPr>
          <w:p>
            <w:r>
              <w:rPr>
                <w:b/>
                <w:bCs/>
              </w:rPr>
              <w:t xml:space="preserve">ISO/IEC 27001:2022</w:t>
            </w:r>
          </w:p>
        </w:tc>
        <w:tc>
          <w:tcPr>
            <w:tcW w:type="dxa" w:w="6240"/>
            <w:tcBorders>
              <w:top w:val="single" w:color="CCCCCC" w:sz="1"/>
              <w:left w:val="single" w:color="CCCCCC" w:sz="1"/>
              <w:bottom w:val="single" w:color="CCCCCC" w:sz="1"/>
              <w:right w:val="single" w:color="CCCCCC" w:sz="1"/>
            </w:tcBorders>
          </w:tcPr>
          <w:p>
            <w:r>
              <w:t xml:space="preserve">A.9.1, A.9.2, A.9.4 (Access Control)</w:t>
            </w:r>
          </w:p>
        </w:tc>
      </w:tr>
      <w:tr>
        <w:tc>
          <w:tcPr>
            <w:tcW w:type="dxa" w:w="3120"/>
            <w:tcBorders>
              <w:top w:val="single" w:color="CCCCCC" w:sz="1"/>
              <w:left w:val="single" w:color="CCCCCC" w:sz="1"/>
              <w:bottom w:val="single" w:color="CCCCCC" w:sz="1"/>
              <w:right w:val="single" w:color="CCCCCC" w:sz="1"/>
            </w:tcBorders>
          </w:tcPr>
          <w:p>
            <w:r>
              <w:rPr>
                <w:b/>
                <w:bCs/>
              </w:rPr>
              <w:t xml:space="preserve">HIPAA Security Rule</w:t>
            </w:r>
          </w:p>
        </w:tc>
        <w:tc>
          <w:tcPr>
            <w:tcW w:type="dxa" w:w="6240"/>
            <w:tcBorders>
              <w:top w:val="single" w:color="CCCCCC" w:sz="1"/>
              <w:left w:val="single" w:color="CCCCCC" w:sz="1"/>
              <w:bottom w:val="single" w:color="CCCCCC" w:sz="1"/>
              <w:right w:val="single" w:color="CCCCCC" w:sz="1"/>
            </w:tcBorders>
          </w:tcPr>
          <w:p>
            <w:r>
              <w:t xml:space="preserve">164.308(a)(3), 164.308(a)(4), 164.312(a)(1), 164.312(d)</w:t>
            </w:r>
          </w:p>
        </w:tc>
      </w:tr>
    </w:tbl>
    <w:p>
      <w:pPr>
        <w:spacing w:before="240"/>
      </w:pPr>
    </w:p>
    <w:p>
      <w:pPr>
        <w:pStyle w:val="Heading1"/>
      </w:pPr>
      <w:r>
        <w:t xml:space="preserve">11. Policy Enforcement</w:t>
      </w:r>
    </w:p>
    <w:p>
      <w:pPr>
        <w:spacing w:after="180"/>
      </w:pPr>
      <w:r>
        <w:rPr>
          <w:b w:val="false"/>
          <w:bCs w:val="false"/>
        </w:rPr>
        <w:t xml:space="preserve">Violations of this policy may result in disciplinary action up to and including termination of employment or contract. Suspected security incidents involving unauthorized access must be reported immediately to security@ostrai.io and handled per the Incident Response Plan.</w:t>
      </w:r>
    </w:p>
    <w:p>
      <w:pPr>
        <w:pStyle w:val="Heading1"/>
      </w:pPr>
      <w:r>
        <w:t xml:space="preserve">12. Policy Exceptions</w:t>
      </w:r>
    </w:p>
    <w:p>
      <w:pPr>
        <w:spacing w:after="180"/>
      </w:pPr>
      <w:r>
        <w:rPr>
          <w:b w:val="false"/>
          <w:bCs w:val="false"/>
        </w:rPr>
        <w:t xml:space="preserve">Exceptions to this policy require written approval from the Head of Information Security. Exception requests must document business justification, risk assessment, compensating controls, and duration. All approved exceptions are reviewed quarterly.</w:t>
      </w:r>
    </w:p>
    <w:p>
      <w:pPr>
        <w:pStyle w:val="Heading1"/>
      </w:pPr>
      <w:r>
        <w:t xml:space="preserve">13. Review and Updates</w:t>
      </w:r>
    </w:p>
    <w:p>
      <w:pPr>
        <w:spacing w:after="180"/>
      </w:pPr>
      <w:r>
        <w:rPr>
          <w:b w:val="false"/>
          <w:bCs w:val="false"/>
        </w:rPr>
        <w:t xml:space="preserve">This policy is reviewed annually or upon significant organizational change by the Information Security team. Updates require approval from the Chief Information Officer.</w:t>
      </w:r>
    </w:p>
    <w:p>
      <w:pPr>
        <w:spacing w:before="480"/>
      </w:pP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4680"/>
        <w:gridCol w:w="4680"/>
      </w:tblGrid>
      <w:tr>
        <w:tc>
          <w:tcPr>
            <w:tcW w:type="dxa" w:w="4680"/>
          </w:tcPr>
          <w:p>
            <w:pPr>
              <w:spacing w:after="60"/>
            </w:pPr>
            <w:r>
              <w:rPr>
                <w:b/>
                <w:bCs/>
                <w:color w:val="2C3E50"/>
                <w:sz w:val="20"/>
                <w:szCs w:val="20"/>
              </w:rPr>
              <w:t xml:space="preserve">Approved by:</w:t>
            </w:r>
          </w:p>
          <w:p>
            <w:pPr>
              <w:spacing w:before="180" w:after="40"/>
            </w:pPr>
            <w:r>
              <w:rPr>
                <w:color w:val="2C3E50"/>
                <w:sz w:val="36"/>
                <w:szCs w:val="36"/>
                <w:rFonts w:ascii="Segoe Script" w:cs="Segoe Script" w:eastAsia="Segoe Script" w:hAnsi="Segoe Script"/>
              </w:rPr>
              <w:t xml:space="preserve">Jordan Ramirez</w:t>
            </w:r>
          </w:p>
          <w:p>
            <w:pPr>
              <w:spacing w:after="40"/>
            </w:pPr>
            <w:r>
              <w:rPr>
                <w:i/>
                <w:iCs/>
                <w:color w:val="7F8C8D"/>
                <w:sz w:val="18"/>
                <w:szCs w:val="18"/>
              </w:rPr>
              <w:t xml:space="preserve">Signature on file</w:t>
            </w:r>
          </w:p>
          <w:p>
            <w:pPr>
              <w:spacing w:after="40"/>
            </w:pPr>
            <w:r>
              <w:rPr>
                <w:sz w:val="20"/>
                <w:szCs w:val="20"/>
              </w:rPr>
              <w:t xml:space="preserve">Head of Information Security</w:t>
            </w:r>
          </w:p>
          <w:p>
            <w:r>
              <w:rPr>
                <w:sz w:val="20"/>
                <w:szCs w:val="20"/>
              </w:rPr>
              <w:t xml:space="preserve">Date: October 2, 2025</w:t>
            </w:r>
          </w:p>
        </w:tc>
        <w:tc>
          <w:tcPr>
            <w:tcW w:type="dxa" w:w="4680"/>
          </w:tcPr>
          <w:p>
            <w:pPr>
              <w:spacing w:after="60"/>
            </w:pPr>
            <w:r>
              <w:rPr>
                <w:b/>
                <w:bCs/>
                <w:color w:val="2C3E50"/>
                <w:sz w:val="20"/>
                <w:szCs w:val="20"/>
              </w:rPr>
              <w:t xml:space="preserve">Reviewed by:</w:t>
            </w:r>
          </w:p>
          <w:p>
            <w:pPr>
              <w:spacing w:before="180" w:after="40"/>
            </w:pPr>
            <w:r>
              <w:rPr>
                <w:color w:val="2C3E50"/>
                <w:sz w:val="36"/>
                <w:szCs w:val="36"/>
                <w:rFonts w:ascii="Segoe Script" w:cs="Segoe Script" w:eastAsia="Segoe Script" w:hAnsi="Segoe Script"/>
              </w:rPr>
              <w:t xml:space="preserve">Madison Clarke</w:t>
            </w:r>
          </w:p>
          <w:p>
            <w:pPr>
              <w:spacing w:after="40"/>
            </w:pPr>
            <w:r>
              <w:rPr>
                <w:i/>
                <w:iCs/>
                <w:color w:val="7F8C8D"/>
                <w:sz w:val="18"/>
                <w:szCs w:val="18"/>
              </w:rPr>
              <w:t xml:space="preserve">Signature on file</w:t>
            </w:r>
          </w:p>
          <w:p>
            <w:pPr>
              <w:spacing w:after="40"/>
            </w:pPr>
            <w:r>
              <w:rPr>
                <w:sz w:val="20"/>
                <w:szCs w:val="20"/>
              </w:rPr>
              <w:t xml:space="preserve">Chief Information Officer</w:t>
            </w:r>
          </w:p>
          <w:p>
            <w:r>
              <w:rPr>
                <w:sz w:val="20"/>
                <w:szCs w:val="20"/>
              </w:rPr>
              <w:t xml:space="preserve">Date: October 2, 2025</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240" w:after="240"/>
      <w:jc w:val="center"/>
    </w:pPr>
    <w:rPr>
      <w:b/>
      <w:bCs/>
      <w:color w:val="2C3E50"/>
      <w:sz w:val="48"/>
      <w:szCs w:val="48"/>
      <w:rFonts w:ascii="Arial" w:cs="Arial" w:eastAsia="Arial" w:hAnsi="Arial"/>
    </w:rPr>
  </w:style>
  <w:style w:type="paragraph" w:styleId="Heading1">
    <w:name w:val="Heading 1"/>
    <w:basedOn w:val="Normal"/>
    <w:next w:val="Normal"/>
    <w:qFormat/>
    <w:pPr>
      <w:spacing w:before="360" w:after="180"/>
      <w:outlineLvl w:val="0"/>
    </w:pPr>
    <w:rPr>
      <w:b/>
      <w:bCs/>
      <w:color w:val="2C3E50"/>
      <w:sz w:val="32"/>
      <w:szCs w:val="32"/>
      <w:rFonts w:ascii="Arial" w:cs="Arial" w:eastAsia="Arial" w:hAnsi="Arial"/>
    </w:rPr>
  </w:style>
  <w:style w:type="paragraph" w:styleId="Heading2">
    <w:name w:val="Heading 2"/>
    <w:basedOn w:val="Normal"/>
    <w:next w:val="Normal"/>
    <w:qFormat/>
    <w:pPr>
      <w:spacing w:before="240" w:after="120"/>
      <w:outlineLvl w:val="1"/>
    </w:pPr>
    <w:rPr>
      <w:b/>
      <w:bCs/>
      <w:color w:val="34495E"/>
      <w:sz w:val="28"/>
      <w:szCs w:val="28"/>
      <w:rFonts w:ascii="Arial" w:cs="Arial" w:eastAsia="Arial" w:hAnsi="Arial"/>
    </w:rPr>
  </w:style>
  <w:style w:type="paragraph" w:styleId="Heading3">
    <w:name w:val="Heading 3"/>
    <w:basedOn w:val="Normal"/>
    <w:next w:val="Normal"/>
    <w:qFormat/>
    <w:pPr>
      <w:spacing w:before="180" w:after="100"/>
      <w:outlineLvl w:val="2"/>
    </w:pPr>
    <w:rPr>
      <w:b/>
      <w:bCs/>
      <w:color w:val="34495E"/>
      <w:sz w:val="24"/>
      <w:szCs w:val="24"/>
      <w:rFonts w:ascii="Arial" w:cs="Arial" w:eastAsia="Arial" w:hAnsi="Arial"/>
    </w:rPr>
  </w:style>
  <w:style w:type="paragraph" w:styleId="documentInfo">
    <w:name w:val="Document Info"/>
    <w:pPr>
      <w:spacing w:after="60"/>
    </w:pPr>
    <w:rPr>
      <w:color w:val="7F8C8D"/>
      <w:sz w:val="20"/>
      <w:szCs w:val="20"/>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2026-06-20T21:40:48.565Z</dcterms:created>
  <dcterms:modified xsi:type="dcterms:W3CDTF">2026-06-20T21:40:48.565Z</dcterms:modified>
</cp:coreProperties>
</file>

<file path=docProps/custom.xml><?xml version="1.0" encoding="utf-8"?>
<Properties xmlns="http://schemas.openxmlformats.org/officeDocument/2006/custom-properties" xmlns:vt="http://schemas.openxmlformats.org/officeDocument/2006/docPropsVTypes"/>
</file>