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Incident Response Tabletop — After Action Report</w:t>
      </w:r>
    </w:p>
    <w:p>
      <w:pPr>
        <w:pStyle w:val="Meta"/>
        <w:jc w:val="center"/>
      </w:pPr>
      <w:r>
        <w:t xml:space="preserve">Exercise ID: IR-TT-2025-10 | Scenario: Ransomware escalation</w:t>
      </w:r>
    </w:p>
    <w:p>
      <w:pPr>
        <w:pStyle w:val="Meta"/>
        <w:spacing w:after="400"/>
        <w:jc w:val="center"/>
      </w:pPr>
      <w:r>
        <w:t xml:space="preserve">Date: October 22, 2025 | Classification: Internal — Security Operations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E8ECF7" w:val="clear"/>
          </w:tcPr>
          <w:p>
            <w:r>
              <w:rPr>
                <w:b/>
                <w:bCs/>
              </w:rPr>
              <w:t xml:space="preserve">Incident Commander</w:t>
            </w:r>
          </w:p>
        </w:tc>
        <w:tc>
          <w:tcPr>
            <w:tcW w:type="dxa" w:w="62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Marcus Lee, Director of Security Operations</w:t>
            </w:r>
          </w:p>
        </w:tc>
      </w:tr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E8ECF7" w:val="clear"/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W w:type="dxa" w:w="62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Dana Ortiz, Sr. Manager, Governance, Risk &amp; Compliance</w:t>
            </w:r>
          </w:p>
        </w:tc>
      </w:tr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E8ECF7" w:val="clear"/>
          </w:tcPr>
          <w:p>
            <w:r>
              <w:rPr>
                <w:b/>
                <w:bCs/>
              </w:rPr>
              <w:t xml:space="preserve">Participants</w:t>
            </w:r>
          </w:p>
        </w:tc>
        <w:tc>
          <w:tcPr>
            <w:tcW w:type="dxa" w:w="62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Security, Engineering, Legal, Customer Communications, Incident Commander</w:t>
            </w:r>
          </w:p>
        </w:tc>
      </w:tr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E8ECF7" w:val="clear"/>
          </w:tcPr>
          <w:p>
            <w:r>
              <w:rPr>
                <w:b/>
                <w:bCs/>
              </w:rPr>
              <w:t xml:space="preserve">Objectives</w:t>
            </w:r>
          </w:p>
        </w:tc>
        <w:tc>
          <w:tcPr>
            <w:tcW w:type="dxa" w:w="62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Validate escalation, legal notification, customer comms readiness, tooling coverage</w:t>
            </w:r>
          </w:p>
        </w:tc>
      </w:tr>
    </w:tbl>
    <w:p>
      <w:pPr>
        <w:spacing w:before="360"/>
      </w:pPr>
    </w:p>
    <w:p>
      <w:pPr>
        <w:pStyle w:val="Heading1"/>
      </w:pPr>
      <w:r>
        <w:t xml:space="preserve">1. Executive Summary</w:t>
      </w:r>
    </w:p>
    <w:p>
      <w:pPr>
        <w:spacing w:after="180"/>
      </w:pPr>
      <w:r>
        <w:t xml:space="preserve">Ostrai simulated a credential compromise leading to potential production data exfiltration. The exercise validated end-to-end incident workflows, surfaced automation gaps in contact list sync, and confirmed customer messaging templates for regulated notifications.</w:t>
      </w:r>
    </w:p>
    <w:p>
      <w:pPr>
        <w:pStyle w:val="Heading1"/>
      </w:pPr>
      <w:r>
        <w:t xml:space="preserve">2. Scenario Timeline</w:t>
      </w:r>
    </w:p>
    <w:p>
      <w:pPr>
        <w:pStyle w:val="Heading2"/>
      </w:pPr>
      <w:r>
        <w:t xml:space="preserve">09:05 — Detection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SIEM anomaly alert flagged privileged login from unrecognized geography.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Incident Commander activated PagerDuty bridge and notified SecOps channel.</w:t>
      </w:r>
    </w:p>
    <w:p>
      <w:pPr>
        <w:pStyle w:val="Heading2"/>
      </w:pPr>
      <w:r>
        <w:t xml:space="preserve">09:18 — Initial Response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Legal prepared regulatory notification decision tree with Privacy officer.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Engineering initiated database snapshot and tightened IAM policies.</w:t>
      </w:r>
    </w:p>
    <w:p>
      <w:pPr>
        <w:pStyle w:val="Heading2"/>
      </w:pPr>
      <w:r>
        <w:t xml:space="preserve">09:37 — Containment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Firewall blocks applied; new IAM role assume policy enforced break-glass procedure.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Communications drafted customer statement and staged in templated workspace.</w:t>
      </w:r>
    </w:p>
    <w:p>
      <w:pPr>
        <w:pStyle w:val="Heading2"/>
      </w:pPr>
      <w:r>
        <w:t xml:space="preserve">10:12 — Eradication &amp; Recovery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Access keys rotated for impacted admin accounts.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Incident Commander validated log capture requirements and declared steady state.</w:t>
      </w:r>
    </w:p>
    <w:p>
      <w:pPr>
        <w:pStyle w:val="Heading1"/>
      </w:pPr>
      <w:r>
        <w:t xml:space="preserve">3. Roles &amp; Responsibilities</w:t>
      </w:r>
    </w:p>
    <w:p>
      <w:pPr>
        <w:pStyle w:val="Heading2"/>
      </w:pPr>
      <w:r>
        <w:t xml:space="preserve">Security Operations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Maintained incident bridge, coordinated cross-functional updates every 15 minutes.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Tracked forensic evidence checklist in Incident.io channel.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Documented root cause hypotheses and IR timeline in real time.</w:t>
      </w:r>
    </w:p>
    <w:p>
      <w:pPr>
        <w:pStyle w:val="Heading2"/>
      </w:pPr>
      <w:r>
        <w:t xml:space="preserve">Engineering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Executed IAM lockdown script and implemented temporary firewall rules.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Captured RDS snapshots and CloudTrail logs for ongoing investigation.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Drove service restoration checklist with parallel test execution.</w:t>
      </w:r>
    </w:p>
    <w:p>
      <w:pPr>
        <w:pStyle w:val="Heading2"/>
      </w:pPr>
      <w:r>
        <w:t xml:space="preserve">Legal &amp; Compliance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Assessed breach determination per GDPR and HIPAA timelines.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Coordinated outside counsel availability for potential notification follow-up.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Maintained evidence retention requirements and chain-of-custody log.</w:t>
      </w:r>
    </w:p>
    <w:p>
      <w:pPr>
        <w:pStyle w:val="Heading2"/>
      </w:pPr>
      <w:r>
        <w:t xml:space="preserve">Customer Communications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Drafted proactive holding statement for leadership approval.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Updated status page template and ensured translations were queued.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Confirmed contact list accuracy; flagged need for automated sync to PagerDuty.</w:t>
      </w:r>
    </w:p>
    <w:p>
      <w:pPr>
        <w:pStyle w:val="Heading1"/>
      </w:pPr>
      <w:r>
        <w:t xml:space="preserve">4. Lessons Learned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Contact list synchronization to PagerDuty must be automated weekly to avoid stale data.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Customer messaging templates should be version controlled with clear approval history.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Secure enclave for forensic artifact storage requires documented access break-glass procedure.</w:t>
      </w:r>
    </w:p>
    <w:p>
      <w:pPr>
        <w:pStyle w:val="Heading1"/>
      </w:pPr>
      <w:r>
        <w:t xml:space="preserve">5. Remediation Tasks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4680"/>
      </w:tblGrid>
      <w:tr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152238" w:val="clea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Task ID</w:t>
            </w:r>
          </w:p>
        </w:tc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152238" w:val="clea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152238" w:val="clea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Action / Due / Status</w:t>
            </w:r>
          </w:p>
        </w:tc>
      </w:tr>
      <w:tr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rPr>
                <w:b/>
                <w:bCs/>
              </w:rPr>
              <w:t xml:space="preserve">IR-2025-001</w:t>
            </w:r>
          </w:p>
        </w:tc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SecOps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Automate contact list synchronization into PagerDuty using HRIS webhook integration.</w:t>
            </w:r>
          </w:p>
          <w:p>
            <w:r>
              <w:rPr>
                <w:i/>
                <w:iCs/>
              </w:rPr>
              <w:t xml:space="preserve">Due: 2025-11-05</w:t>
            </w:r>
            <w:r>
              <w:rPr>
                <w:i/>
                <w:iCs/>
              </w:rPr>
              <w:t xml:space="preserve">   |   Status: In Progress</w:t>
            </w:r>
          </w:p>
        </w:tc>
      </w:tr>
      <w:tr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rPr>
                <w:b/>
                <w:bCs/>
              </w:rPr>
              <w:t xml:space="preserve">IR-2025-002</w:t>
            </w:r>
          </w:p>
        </w:tc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Comms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Finalize customer messaging templates and archive in restricted SharePoint library.</w:t>
            </w:r>
          </w:p>
          <w:p>
            <w:r>
              <w:rPr>
                <w:i/>
                <w:iCs/>
              </w:rPr>
              <w:t xml:space="preserve">Due: 2025-11-07</w:t>
            </w:r>
            <w:r>
              <w:rPr>
                <w:i/>
                <w:iCs/>
              </w:rPr>
              <w:t xml:space="preserve">   |   Status: Scheduled</w:t>
            </w:r>
          </w:p>
        </w:tc>
      </w:tr>
      <w:tr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rPr>
                <w:b/>
                <w:bCs/>
              </w:rPr>
              <w:t xml:space="preserve">IR-2025-003</w:t>
            </w:r>
          </w:p>
        </w:tc>
        <w:tc>
          <w:tcPr>
            <w:tcW w:type="dxa" w:w="234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Engineering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Document playbook for emergency IAM lockdown including approval matrix.</w:t>
            </w:r>
          </w:p>
          <w:p>
            <w:r>
              <w:rPr>
                <w:i/>
                <w:iCs/>
              </w:rPr>
              <w:t xml:space="preserve">Due: 2025-11-12</w:t>
            </w:r>
            <w:r>
              <w:rPr>
                <w:i/>
                <w:iCs/>
              </w:rPr>
              <w:t xml:space="preserve">   |   Status: Ready</w:t>
            </w:r>
          </w:p>
        </w:tc>
      </w:tr>
    </w:tbl>
    <w:p>
      <w:pPr>
        <w:pStyle w:val="Heading1"/>
      </w:pPr>
      <w:r>
        <w:t xml:space="preserve">6. Control Mapping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1560"/>
        <w:gridCol w:w="4680"/>
      </w:tblGrid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1E2F55" w:val="clea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Framework Control</w:t>
            </w:r>
          </w:p>
        </w:tc>
        <w:tc>
          <w:tcPr>
            <w:tcW w:type="dxa" w:w="156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1E2F55" w:val="clea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  <w:shd w:fill="1E2F55" w:val="clea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rPr>
                <w:b/>
                <w:bCs/>
              </w:rPr>
              <w:t xml:space="preserve">SOC 2 CC1.2</w:t>
            </w:r>
          </w:p>
        </w:tc>
        <w:tc>
          <w:tcPr>
            <w:tcW w:type="dxa" w:w="156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pPr>
              <w:jc w:val="center"/>
            </w:pPr>
            <w:r>
              <w:t xml:space="preserve">Effective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Incident response roles validated; post-mortem cadence improved.</w:t>
            </w:r>
          </w:p>
        </w:tc>
      </w:tr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rPr>
                <w:b/>
                <w:bCs/>
              </w:rPr>
              <w:t xml:space="preserve">ISO 27001 A.5.29</w:t>
            </w:r>
          </w:p>
        </w:tc>
        <w:tc>
          <w:tcPr>
            <w:tcW w:type="dxa" w:w="156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pPr>
              <w:jc w:val="center"/>
            </w:pPr>
            <w:r>
              <w:t xml:space="preserve">Effective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Crisis communications plan tested; updates queued for repository.</w:t>
            </w:r>
          </w:p>
        </w:tc>
      </w:tr>
      <w:tr>
        <w:tc>
          <w:tcPr>
            <w:tcW w:type="dxa" w:w="312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rPr>
                <w:b/>
                <w:bCs/>
              </w:rPr>
              <w:t xml:space="preserve">HIPAA §164.308(a)(6)</w:t>
            </w:r>
          </w:p>
        </w:tc>
        <w:tc>
          <w:tcPr>
            <w:tcW w:type="dxa" w:w="156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pPr>
              <w:jc w:val="center"/>
            </w:pPr>
            <w:r>
              <w:t xml:space="preserve">Needs Update</w:t>
            </w:r>
          </w:p>
        </w:tc>
        <w:tc>
          <w:tcPr>
            <w:tcW w:type="dxa" w:w="468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r>
              <w:t xml:space="preserve">Evidence archive SOP to incorporate new secure enclave process.</w:t>
            </w:r>
          </w:p>
        </w:tc>
      </w:tr>
    </w:tbl>
    <w:p>
      <w:pPr>
        <w:pStyle w:val="Heading1"/>
      </w:pPr>
      <w:r>
        <w:t xml:space="preserve">7. Approvals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936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pPr>
              <w:spacing w:after="30"/>
            </w:pPr>
            <w:r>
              <w:rPr>
                <w:b/>
                <w:bCs/>
                <w:color w:val="152238"/>
                <w:sz w:val="20"/>
                <w:szCs w:val="20"/>
              </w:rPr>
              <w:t xml:space="preserve">Prepared by:</w:t>
            </w:r>
          </w:p>
          <w:p>
            <w:pPr>
              <w:spacing w:after="20"/>
            </w:pPr>
            <w:r>
              <w:rPr>
                <w:color w:val="152238"/>
                <w:sz w:val="20"/>
                <w:szCs w:val="20"/>
              </w:rPr>
              <w:t xml:space="preserve">Marcus Lee</w:t>
            </w:r>
          </w:p>
          <w:p>
            <w:pPr>
              <w:spacing w:after="20"/>
            </w:pPr>
            <w:r>
              <w:rPr>
                <w:color w:val="5C6C84"/>
                <w:sz w:val="18"/>
                <w:szCs w:val="18"/>
              </w:rPr>
              <w:t xml:space="preserve">Incident Commander</w:t>
            </w:r>
          </w:p>
          <w:p>
            <w:pPr>
              <w:spacing w:before="40"/>
            </w:pPr>
            <w:r>
              <w:rPr>
                <w:color w:val="95A5A6"/>
              </w:rPr>
              <w:t xml:space="preserve">_______________________________</w:t>
            </w:r>
          </w:p>
        </w:tc>
      </w:tr>
      <w:tr>
        <w:tc>
          <w:tcPr>
            <w:tcW w:type="dxa" w:w="9360"/>
            <w:tcBorders>
              <w:top w:val="single" w:color="B0C4DE" w:sz="1"/>
              <w:left w:val="single" w:color="B0C4DE" w:sz="1"/>
              <w:bottom w:val="single" w:color="B0C4DE" w:sz="1"/>
              <w:right w:val="single" w:color="B0C4DE" w:sz="1"/>
            </w:tcBorders>
          </w:tcPr>
          <w:p>
            <w:pPr>
              <w:spacing w:after="30"/>
            </w:pPr>
            <w:r>
              <w:rPr>
                <w:b/>
                <w:bCs/>
                <w:color w:val="152238"/>
                <w:sz w:val="20"/>
                <w:szCs w:val="20"/>
              </w:rPr>
              <w:t xml:space="preserve">Reviewed by:</w:t>
            </w:r>
          </w:p>
          <w:p>
            <w:pPr>
              <w:spacing w:after="20"/>
            </w:pPr>
            <w:r>
              <w:rPr>
                <w:color w:val="152238"/>
                <w:sz w:val="20"/>
                <w:szCs w:val="20"/>
              </w:rPr>
              <w:t xml:space="preserve">Dana Ortiz</w:t>
            </w:r>
          </w:p>
          <w:p>
            <w:pPr>
              <w:spacing w:after="20"/>
            </w:pPr>
            <w:r>
              <w:rPr>
                <w:color w:val="5C6C84"/>
                <w:sz w:val="18"/>
                <w:szCs w:val="18"/>
              </w:rPr>
              <w:t xml:space="preserve">Director of Governance, Risk &amp; Compliance</w:t>
            </w:r>
          </w:p>
          <w:p>
            <w:pPr>
              <w:spacing w:before="40"/>
            </w:pPr>
            <w:r>
              <w:rPr>
                <w:color w:val="95A5A6"/>
              </w:rPr>
              <w:t xml:space="preserve">_______________________________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before="240" w:after="240"/>
      <w:jc w:val="center"/>
    </w:pPr>
    <w:rPr>
      <w:b/>
      <w:bCs/>
      <w:color w:val="152238"/>
      <w:sz w:val="46"/>
      <w:szCs w:val="46"/>
      <w:rFonts w:ascii="Arial" w:cs="Arial" w:eastAsia="Arial" w:hAnsi="Arial"/>
    </w:rPr>
  </w:style>
  <w:style w:type="paragraph" w:styleId="Heading1">
    <w:name w:val="Heading 1"/>
    <w:basedOn w:val="Normal"/>
    <w:pPr>
      <w:spacing w:before="320" w:after="180"/>
      <w:outlineLvl w:val="0"/>
    </w:pPr>
    <w:rPr>
      <w:b/>
      <w:bCs/>
      <w:color w:val="152238"/>
      <w:sz w:val="32"/>
      <w:szCs w:val="32"/>
      <w:rFonts w:ascii="Arial" w:cs="Arial" w:eastAsia="Arial" w:hAnsi="Arial"/>
    </w:rPr>
  </w:style>
  <w:style w:type="paragraph" w:styleId="Heading2">
    <w:name w:val="Heading 2"/>
    <w:basedOn w:val="Normal"/>
    <w:pPr>
      <w:spacing w:before="220" w:after="120"/>
      <w:outlineLvl w:val="1"/>
    </w:pPr>
    <w:rPr>
      <w:b/>
      <w:bCs/>
      <w:color w:val="1E2F55"/>
      <w:sz w:val="26"/>
      <w:szCs w:val="26"/>
      <w:rFonts w:ascii="Arial" w:cs="Arial" w:eastAsia="Arial" w:hAnsi="Arial"/>
    </w:rPr>
  </w:style>
  <w:style w:type="paragraph" w:styleId="Heading3">
    <w:name w:val="Heading 3"/>
    <w:basedOn w:val="Normal"/>
    <w:pPr>
      <w:spacing w:before="180" w:after="100"/>
      <w:outlineLvl w:val="2"/>
    </w:pPr>
    <w:rPr>
      <w:b/>
      <w:bCs/>
      <w:color w:val="1E2F55"/>
      <w:sz w:val="24"/>
      <w:szCs w:val="24"/>
      <w:rFonts w:ascii="Arial" w:cs="Arial" w:eastAsia="Arial" w:hAnsi="Arial"/>
    </w:rPr>
  </w:style>
  <w:style w:type="paragraph" w:styleId="Meta">
    <w:name w:val="Metadata"/>
    <w:pPr>
      <w:spacing w:after="60"/>
    </w:pPr>
    <w:rPr>
      <w:color w:val="5C6C84"/>
      <w:sz w:val="20"/>
      <w:szCs w:val="20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2026-09-24T02:37:34.963Z</dcterms:created>
  <dcterms:modified xsi:type="dcterms:W3CDTF">2026-09-24T02:37:34.963Z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