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Incident Response Tabletop — After Action Report</w:t>
      </w:r>
    </w:p>
    <w:p>
      <w:pPr>
        <w:pStyle w:val="Meta"/>
        <w:jc w:val="center"/>
      </w:pPr>
      <w:r>
        <w:t xml:space="preserve">Exercise ID: IR-TT-2025-10 | Scenario: Ransomware escalation</w:t>
      </w:r>
    </w:p>
    <w:p>
      <w:pPr>
        <w:pStyle w:val="Meta"/>
        <w:spacing w:after="400"/>
        <w:jc w:val="center"/>
      </w:pPr>
      <w:r>
        <w:t xml:space="preserve">Date: October 22, 2025 | Classification: Internal — Security Operations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  <w:shd w:fill="E8ECF7" w:val="clear"/>
          </w:tcPr>
          <w:p>
            <w:r>
              <w:rPr>
                <w:b/>
                <w:bCs/>
              </w:rPr>
              <w:t xml:space="preserve">Incident Commander</w:t>
            </w:r>
          </w:p>
        </w:tc>
        <w:tc>
          <w:tcPr>
            <w:tcW w:type="dxa" w:w="624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r>
              <w:t xml:space="preserve">Marcus Lee, Director of Security Operations</w:t>
            </w:r>
          </w:p>
        </w:tc>
      </w:tr>
      <w:tr>
        <w:tc>
          <w:tcPr>
            <w:tcW w:type="dxa" w:w="312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  <w:shd w:fill="E8ECF7" w:val="clear"/>
          </w:tcPr>
          <w:p>
            <w:r>
              <w:rPr>
                <w:b/>
                <w:bCs/>
              </w:rPr>
              <w:t xml:space="preserve">Facilitator</w:t>
            </w:r>
          </w:p>
        </w:tc>
        <w:tc>
          <w:tcPr>
            <w:tcW w:type="dxa" w:w="624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r>
              <w:t xml:space="preserve">Dana Ortiz, Sr. Manager, Governance, Risk &amp; Compliance</w:t>
            </w:r>
          </w:p>
        </w:tc>
      </w:tr>
      <w:tr>
        <w:tc>
          <w:tcPr>
            <w:tcW w:type="dxa" w:w="312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  <w:shd w:fill="E8ECF7" w:val="clear"/>
          </w:tcPr>
          <w:p>
            <w:r>
              <w:rPr>
                <w:b/>
                <w:bCs/>
              </w:rPr>
              <w:t xml:space="preserve">Participants</w:t>
            </w:r>
          </w:p>
        </w:tc>
        <w:tc>
          <w:tcPr>
            <w:tcW w:type="dxa" w:w="624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r>
              <w:t xml:space="preserve">Security, Engineering, Legal, Customer Communications, Incident Commander</w:t>
            </w:r>
          </w:p>
        </w:tc>
      </w:tr>
      <w:tr>
        <w:tc>
          <w:tcPr>
            <w:tcW w:type="dxa" w:w="312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  <w:shd w:fill="E8ECF7" w:val="clear"/>
          </w:tcPr>
          <w:p>
            <w:r>
              <w:rPr>
                <w:b/>
                <w:bCs/>
              </w:rPr>
              <w:t xml:space="preserve">Objectives</w:t>
            </w:r>
          </w:p>
        </w:tc>
        <w:tc>
          <w:tcPr>
            <w:tcW w:type="dxa" w:w="624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r>
              <w:t xml:space="preserve">Validate escalation, legal notification, customer comms readiness, tooling coverage</w:t>
            </w:r>
          </w:p>
        </w:tc>
      </w:tr>
    </w:tbl>
    <w:p>
      <w:pPr>
        <w:spacing w:before="360"/>
      </w:pPr>
    </w:p>
    <w:p>
      <w:pPr>
        <w:pStyle w:val="Heading1"/>
      </w:pPr>
      <w:r>
        <w:t xml:space="preserve">1. Executive Summary</w:t>
      </w:r>
    </w:p>
    <w:p>
      <w:pPr>
        <w:spacing w:after="180"/>
      </w:pPr>
      <w:r>
        <w:t xml:space="preserve">Ostrai simulated a credential compromise leading to potential production data exfiltration. The exercise validated end-to-end incident workflows, surfaced automation gaps in contact list sync, and confirmed customer messaging templates for regulated notifications.</w:t>
      </w:r>
    </w:p>
    <w:p>
      <w:pPr>
        <w:pStyle w:val="Heading1"/>
      </w:pPr>
      <w:r>
        <w:t xml:space="preserve">2. Scenario Timeline</w:t>
      </w:r>
    </w:p>
    <w:p>
      <w:pPr>
        <w:pStyle w:val="Heading2"/>
      </w:pPr>
      <w:r>
        <w:t xml:space="preserve">09:05 — Detection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SIEM anomaly alert flagged privileged login from unrecognized geography.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Incident Commander activated PagerDuty bridge and notified SecOps channel.</w:t>
      </w:r>
    </w:p>
    <w:p>
      <w:pPr>
        <w:pStyle w:val="Heading2"/>
      </w:pPr>
      <w:r>
        <w:t xml:space="preserve">09:18 — Initial Response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Legal prepared regulatory notification decision tree with Privacy officer.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Engineering initiated database snapshot and tightened IAM policies.</w:t>
      </w:r>
    </w:p>
    <w:p>
      <w:pPr>
        <w:pStyle w:val="Heading2"/>
      </w:pPr>
      <w:r>
        <w:t xml:space="preserve">09:37 — Containment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Firewall blocks applied; new IAM role assume policy enforced break-glass procedure.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Communications drafted customer statement and staged in templated workspace.</w:t>
      </w:r>
    </w:p>
    <w:p>
      <w:pPr>
        <w:pStyle w:val="Heading2"/>
      </w:pPr>
      <w:r>
        <w:t xml:space="preserve">10:12 — Eradication &amp; Recovery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Access keys rotated for impacted admin accounts.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Incident Commander validated log capture requirements and declared steady state.</w:t>
      </w:r>
    </w:p>
    <w:p>
      <w:pPr>
        <w:pStyle w:val="Heading1"/>
      </w:pPr>
      <w:r>
        <w:t xml:space="preserve">3. Roles &amp; Responsibilities</w:t>
      </w:r>
    </w:p>
    <w:p>
      <w:pPr>
        <w:pStyle w:val="Heading2"/>
      </w:pPr>
      <w:r>
        <w:t xml:space="preserve">Security Operations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Maintained incident bridge, coordinated cross-functional updates every 15 minutes.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Tracked forensic evidence checklist in Incident.io channel.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Documented root cause hypotheses and IR timeline in real time.</w:t>
      </w:r>
    </w:p>
    <w:p>
      <w:pPr>
        <w:pStyle w:val="Heading2"/>
      </w:pPr>
      <w:r>
        <w:t xml:space="preserve">Engineering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Executed IAM lockdown script and implemented temporary firewall rules.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Captured RDS snapshots and CloudTrail logs for ongoing investigation.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Drove service restoration checklist with parallel test execution.</w:t>
      </w:r>
    </w:p>
    <w:p>
      <w:pPr>
        <w:pStyle w:val="Heading2"/>
      </w:pPr>
      <w:r>
        <w:t xml:space="preserve">Legal &amp; Compliance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Assessed breach determination per GDPR and HIPAA timelines.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Coordinated outside counsel availability for potential notification follow-up.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Maintained evidence retention requirements and chain-of-custody log.</w:t>
      </w:r>
    </w:p>
    <w:p>
      <w:pPr>
        <w:pStyle w:val="Heading2"/>
      </w:pPr>
      <w:r>
        <w:t xml:space="preserve">Customer Communications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Drafted proactive holding statement for leadership approval.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Updated status page template and ensured translations were queued.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Confirmed contact list accuracy; flagged need for automated sync to PagerDuty.</w:t>
      </w:r>
    </w:p>
    <w:p>
      <w:pPr>
        <w:pStyle w:val="Heading1"/>
      </w:pPr>
      <w:r>
        <w:t xml:space="preserve">4. Lessons Learned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Contact list synchronization to PagerDuty must be automated weekly to avoid stale data.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Customer messaging templates should be version controlled with clear approval history.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Secure enclave for forensic artifact storage requires documented access break-glass procedure.</w:t>
      </w:r>
    </w:p>
    <w:p>
      <w:pPr>
        <w:pStyle w:val="Heading1"/>
      </w:pPr>
      <w:r>
        <w:t xml:space="preserve">5. Remediation Tasks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4680"/>
      </w:tblGrid>
      <w:tr>
        <w:tc>
          <w:tcPr>
            <w:tcW w:type="dxa" w:w="234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  <w:shd w:fill="152238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Task ID</w:t>
            </w:r>
          </w:p>
        </w:tc>
        <w:tc>
          <w:tcPr>
            <w:tcW w:type="dxa" w:w="234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  <w:shd w:fill="152238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Owner</w:t>
            </w:r>
          </w:p>
        </w:tc>
        <w:tc>
          <w:tcPr>
            <w:tcW w:type="dxa" w:w="468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  <w:shd w:fill="152238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Action / Due / Status</w:t>
            </w:r>
          </w:p>
        </w:tc>
      </w:tr>
      <w:tr>
        <w:tc>
          <w:tcPr>
            <w:tcW w:type="dxa" w:w="234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r>
              <w:rPr>
                <w:b/>
                <w:bCs/>
              </w:rPr>
              <w:t xml:space="preserve">IR-2025-001</w:t>
            </w:r>
          </w:p>
        </w:tc>
        <w:tc>
          <w:tcPr>
            <w:tcW w:type="dxa" w:w="234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r>
              <w:t xml:space="preserve">SecOps</w:t>
            </w:r>
          </w:p>
        </w:tc>
        <w:tc>
          <w:tcPr>
            <w:tcW w:type="dxa" w:w="468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r>
              <w:t xml:space="preserve">Automate contact list synchronization into PagerDuty using HRIS webhook integration.</w:t>
            </w:r>
          </w:p>
          <w:p>
            <w:r>
              <w:rPr>
                <w:i/>
                <w:iCs/>
              </w:rPr>
              <w:t xml:space="preserve">Due: 2025-11-05</w:t>
            </w:r>
            <w:r>
              <w:rPr>
                <w:i/>
                <w:iCs/>
              </w:rPr>
              <w:t xml:space="preserve">   |   Status: In Progress</w:t>
            </w:r>
          </w:p>
        </w:tc>
      </w:tr>
      <w:tr>
        <w:tc>
          <w:tcPr>
            <w:tcW w:type="dxa" w:w="234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r>
              <w:rPr>
                <w:b/>
                <w:bCs/>
              </w:rPr>
              <w:t xml:space="preserve">IR-2025-002</w:t>
            </w:r>
          </w:p>
        </w:tc>
        <w:tc>
          <w:tcPr>
            <w:tcW w:type="dxa" w:w="234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r>
              <w:t xml:space="preserve">Comms</w:t>
            </w:r>
          </w:p>
        </w:tc>
        <w:tc>
          <w:tcPr>
            <w:tcW w:type="dxa" w:w="468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r>
              <w:t xml:space="preserve">Finalize customer messaging templates and archive in restricted SharePoint library.</w:t>
            </w:r>
          </w:p>
          <w:p>
            <w:r>
              <w:rPr>
                <w:i/>
                <w:iCs/>
              </w:rPr>
              <w:t xml:space="preserve">Due: 2025-11-07</w:t>
            </w:r>
            <w:r>
              <w:rPr>
                <w:i/>
                <w:iCs/>
              </w:rPr>
              <w:t xml:space="preserve">   |   Status: Scheduled</w:t>
            </w:r>
          </w:p>
        </w:tc>
      </w:tr>
      <w:tr>
        <w:tc>
          <w:tcPr>
            <w:tcW w:type="dxa" w:w="234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r>
              <w:rPr>
                <w:b/>
                <w:bCs/>
              </w:rPr>
              <w:t xml:space="preserve">IR-2025-003</w:t>
            </w:r>
          </w:p>
        </w:tc>
        <w:tc>
          <w:tcPr>
            <w:tcW w:type="dxa" w:w="234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r>
              <w:t xml:space="preserve">Engineering</w:t>
            </w:r>
          </w:p>
        </w:tc>
        <w:tc>
          <w:tcPr>
            <w:tcW w:type="dxa" w:w="468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r>
              <w:t xml:space="preserve">Document playbook for emergency IAM lockdown including approval matrix.</w:t>
            </w:r>
          </w:p>
          <w:p>
            <w:r>
              <w:rPr>
                <w:i/>
                <w:iCs/>
              </w:rPr>
              <w:t xml:space="preserve">Due: 2025-11-12</w:t>
            </w:r>
            <w:r>
              <w:rPr>
                <w:i/>
                <w:iCs/>
              </w:rPr>
              <w:t xml:space="preserve">   |   Status: Ready</w:t>
            </w:r>
          </w:p>
        </w:tc>
      </w:tr>
    </w:tbl>
    <w:p>
      <w:pPr>
        <w:pStyle w:val="Heading1"/>
      </w:pPr>
      <w:r>
        <w:t xml:space="preserve">6. Control Mapping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1560"/>
        <w:gridCol w:w="4680"/>
      </w:tblGrid>
      <w:tr>
        <w:tc>
          <w:tcPr>
            <w:tcW w:type="dxa" w:w="312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  <w:shd w:fill="1E2F55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Framework Control</w:t>
            </w:r>
          </w:p>
        </w:tc>
        <w:tc>
          <w:tcPr>
            <w:tcW w:type="dxa" w:w="156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  <w:shd w:fill="1E2F55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dxa" w:w="468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  <w:shd w:fill="1E2F55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Notes</w:t>
            </w:r>
          </w:p>
        </w:tc>
      </w:tr>
      <w:tr>
        <w:tc>
          <w:tcPr>
            <w:tcW w:type="dxa" w:w="312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r>
              <w:rPr>
                <w:b/>
                <w:bCs/>
              </w:rPr>
              <w:t xml:space="preserve">SOC 2 CC1.2</w:t>
            </w:r>
          </w:p>
        </w:tc>
        <w:tc>
          <w:tcPr>
            <w:tcW w:type="dxa" w:w="156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pPr>
              <w:jc w:val="center"/>
            </w:pPr>
            <w:r>
              <w:t xml:space="preserve">Effective</w:t>
            </w:r>
          </w:p>
        </w:tc>
        <w:tc>
          <w:tcPr>
            <w:tcW w:type="dxa" w:w="468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r>
              <w:t xml:space="preserve">Incident response roles validated; post-mortem cadence improved.</w:t>
            </w:r>
          </w:p>
        </w:tc>
      </w:tr>
      <w:tr>
        <w:tc>
          <w:tcPr>
            <w:tcW w:type="dxa" w:w="312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r>
              <w:rPr>
                <w:b/>
                <w:bCs/>
              </w:rPr>
              <w:t xml:space="preserve">ISO 27001 A.5.29</w:t>
            </w:r>
          </w:p>
        </w:tc>
        <w:tc>
          <w:tcPr>
            <w:tcW w:type="dxa" w:w="156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pPr>
              <w:jc w:val="center"/>
            </w:pPr>
            <w:r>
              <w:t xml:space="preserve">Effective</w:t>
            </w:r>
          </w:p>
        </w:tc>
        <w:tc>
          <w:tcPr>
            <w:tcW w:type="dxa" w:w="468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r>
              <w:t xml:space="preserve">Crisis communications plan tested; updates queued for repository.</w:t>
            </w:r>
          </w:p>
        </w:tc>
      </w:tr>
      <w:tr>
        <w:tc>
          <w:tcPr>
            <w:tcW w:type="dxa" w:w="312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r>
              <w:rPr>
                <w:b/>
                <w:bCs/>
              </w:rPr>
              <w:t xml:space="preserve">HIPAA §164.308(a)(6)</w:t>
            </w:r>
          </w:p>
        </w:tc>
        <w:tc>
          <w:tcPr>
            <w:tcW w:type="dxa" w:w="156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pPr>
              <w:jc w:val="center"/>
            </w:pPr>
            <w:r>
              <w:t xml:space="preserve">Needs Update</w:t>
            </w:r>
          </w:p>
        </w:tc>
        <w:tc>
          <w:tcPr>
            <w:tcW w:type="dxa" w:w="468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r>
              <w:t xml:space="preserve">Evidence archive SOP to incorporate new secure enclave process.</w:t>
            </w:r>
          </w:p>
        </w:tc>
      </w:tr>
    </w:tbl>
    <w:p>
      <w:pPr>
        <w:pStyle w:val="Heading1"/>
      </w:pPr>
      <w:r>
        <w:t xml:space="preserve">7. Approvals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936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pPr>
              <w:spacing w:after="30"/>
            </w:pPr>
            <w:r>
              <w:rPr>
                <w:b/>
                <w:bCs/>
                <w:color w:val="152238"/>
                <w:sz w:val="20"/>
                <w:szCs w:val="20"/>
              </w:rPr>
              <w:t xml:space="preserve">Prepared by:</w:t>
            </w:r>
          </w:p>
          <w:p>
            <w:pPr>
              <w:spacing w:after="20"/>
            </w:pPr>
            <w:r>
              <w:rPr>
                <w:color w:val="152238"/>
                <w:sz w:val="20"/>
                <w:szCs w:val="20"/>
              </w:rPr>
              <w:t xml:space="preserve">Marcus Lee</w:t>
            </w:r>
          </w:p>
          <w:p>
            <w:pPr>
              <w:spacing w:after="20"/>
            </w:pPr>
            <w:r>
              <w:rPr>
                <w:color w:val="5C6C84"/>
                <w:sz w:val="18"/>
                <w:szCs w:val="18"/>
              </w:rPr>
              <w:t xml:space="preserve">Incident Commander</w:t>
            </w:r>
          </w:p>
          <w:p>
            <w:pPr>
              <w:spacing w:before="40"/>
            </w:pPr>
            <w:r>
              <w:rPr>
                <w:color w:val="95A5A6"/>
              </w:rPr>
              <w:t xml:space="preserve">_______________________________</w:t>
            </w:r>
          </w:p>
        </w:tc>
      </w:tr>
      <w:tr>
        <w:tc>
          <w:tcPr>
            <w:tcW w:type="dxa" w:w="9360"/>
            <w:tcBorders>
              <w:top w:val="single" w:color="B0C4DE" w:sz="1"/>
              <w:left w:val="single" w:color="B0C4DE" w:sz="1"/>
              <w:bottom w:val="single" w:color="B0C4DE" w:sz="1"/>
              <w:right w:val="single" w:color="B0C4DE" w:sz="1"/>
            </w:tcBorders>
          </w:tcPr>
          <w:p>
            <w:pPr>
              <w:spacing w:after="30"/>
            </w:pPr>
            <w:r>
              <w:rPr>
                <w:b/>
                <w:bCs/>
                <w:color w:val="152238"/>
                <w:sz w:val="20"/>
                <w:szCs w:val="20"/>
              </w:rPr>
              <w:t xml:space="preserve">Reviewed by:</w:t>
            </w:r>
          </w:p>
          <w:p>
            <w:pPr>
              <w:spacing w:after="20"/>
            </w:pPr>
            <w:r>
              <w:rPr>
                <w:color w:val="152238"/>
                <w:sz w:val="20"/>
                <w:szCs w:val="20"/>
              </w:rPr>
              <w:t xml:space="preserve">Dana Ortiz</w:t>
            </w:r>
          </w:p>
          <w:p>
            <w:pPr>
              <w:spacing w:after="20"/>
            </w:pPr>
            <w:r>
              <w:rPr>
                <w:color w:val="5C6C84"/>
                <w:sz w:val="18"/>
                <w:szCs w:val="18"/>
              </w:rPr>
              <w:t xml:space="preserve">Director of Governance, Risk &amp; Compliance</w:t>
            </w:r>
          </w:p>
          <w:p>
            <w:pPr>
              <w:spacing w:before="40"/>
            </w:pPr>
            <w:r>
              <w:rPr>
                <w:color w:val="95A5A6"/>
              </w:rPr>
              <w:t xml:space="preserve">_______________________________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240" w:after="240"/>
      <w:jc w:val="center"/>
    </w:pPr>
    <w:rPr>
      <w:b/>
      <w:bCs/>
      <w:color w:val="152238"/>
      <w:sz w:val="46"/>
      <w:szCs w:val="46"/>
      <w:rFonts w:ascii="Arial" w:cs="Arial" w:eastAsia="Arial" w:hAnsi="Arial"/>
    </w:rPr>
  </w:style>
  <w:style w:type="paragraph" w:styleId="Heading1">
    <w:name w:val="Heading 1"/>
    <w:basedOn w:val="Normal"/>
    <w:pPr>
      <w:spacing w:before="320" w:after="180"/>
      <w:outlineLvl w:val="0"/>
    </w:pPr>
    <w:rPr>
      <w:b/>
      <w:bCs/>
      <w:color w:val="152238"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pPr>
      <w:spacing w:before="220" w:after="120"/>
      <w:outlineLvl w:val="1"/>
    </w:pPr>
    <w:rPr>
      <w:b/>
      <w:bCs/>
      <w:color w:val="1E2F55"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pPr>
      <w:spacing w:before="180" w:after="100"/>
      <w:outlineLvl w:val="2"/>
    </w:pPr>
    <w:rPr>
      <w:b/>
      <w:bCs/>
      <w:color w:val="1E2F55"/>
      <w:sz w:val="24"/>
      <w:szCs w:val="24"/>
      <w:rFonts w:ascii="Arial" w:cs="Arial" w:eastAsia="Arial" w:hAnsi="Arial"/>
    </w:rPr>
  </w:style>
  <w:style w:type="paragraph" w:styleId="Meta">
    <w:name w:val="Metadata"/>
    <w:pPr>
      <w:spacing w:after="60"/>
    </w:pPr>
    <w:rPr>
      <w:color w:val="5C6C84"/>
      <w:sz w:val="20"/>
      <w:szCs w:val="20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2026-06-20T21:35:57.408Z</dcterms:created>
  <dcterms:modified xsi:type="dcterms:W3CDTF">2026-06-20T21:35:57.409Z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