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Incident Response Tabletop — After Action Report</w:t>
      </w:r>
    </w:p>
    <w:p>
      <w:pPr>
        <w:pStyle w:val="Meta"/>
        <w:jc w:val="center"/>
      </w:pPr>
      <w:r>
        <w:t xml:space="preserve">Exercise ID: IR-TT-2025-10 | Scenario: Ransomware escalation</w:t>
      </w:r>
    </w:p>
    <w:p>
      <w:pPr>
        <w:pStyle w:val="Meta"/>
        <w:spacing w:after="400"/>
        <w:jc w:val="center"/>
      </w:pPr>
      <w:r>
        <w:t xml:space="preserve">Date: October 22, 2025 | Classification: Internal — Security Operations</w:t>
      </w:r>
    </w:p>
    <w:tbl>
      <w:tblPr>
        <w:tblW w:type="auto" w:w="1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20"/>
        <w:gridCol w:w="6240"/>
      </w:tblGrid>
      <w:tr>
        <w:tc>
          <w:tcPr>
            <w:tcW w:type="dxa" w:w="3120"/>
            <w:tcBorders>
              <w:top w:val="single" w:color="B0C4DE" w:sz="1"/>
              <w:left w:val="single" w:color="B0C4DE" w:sz="1"/>
              <w:bottom w:val="single" w:color="B0C4DE" w:sz="1"/>
              <w:right w:val="single" w:color="B0C4DE" w:sz="1"/>
            </w:tcBorders>
            <w:shd w:fill="E8ECF7" w:val="clear"/>
          </w:tcPr>
          <w:p>
            <w:r>
              <w:rPr>
                <w:b/>
                <w:bCs/>
              </w:rPr>
              <w:t xml:space="preserve">Incident Commander</w:t>
            </w:r>
          </w:p>
        </w:tc>
        <w:tc>
          <w:tcPr>
            <w:tcW w:type="dxa" w:w="6240"/>
            <w:tcBorders>
              <w:top w:val="single" w:color="B0C4DE" w:sz="1"/>
              <w:left w:val="single" w:color="B0C4DE" w:sz="1"/>
              <w:bottom w:val="single" w:color="B0C4DE" w:sz="1"/>
              <w:right w:val="single" w:color="B0C4DE" w:sz="1"/>
            </w:tcBorders>
          </w:tcPr>
          <w:p>
            <w:r>
              <w:t xml:space="preserve">Marcus Lee, Director of Security Operations</w:t>
            </w:r>
          </w:p>
        </w:tc>
      </w:tr>
      <w:tr>
        <w:tc>
          <w:tcPr>
            <w:tcW w:type="dxa" w:w="3120"/>
            <w:tcBorders>
              <w:top w:val="single" w:color="B0C4DE" w:sz="1"/>
              <w:left w:val="single" w:color="B0C4DE" w:sz="1"/>
              <w:bottom w:val="single" w:color="B0C4DE" w:sz="1"/>
              <w:right w:val="single" w:color="B0C4DE" w:sz="1"/>
            </w:tcBorders>
            <w:shd w:fill="E8ECF7" w:val="clear"/>
          </w:tcPr>
          <w:p>
            <w:r>
              <w:rPr>
                <w:b/>
                <w:bCs/>
              </w:rPr>
              <w:t xml:space="preserve">Facilitator</w:t>
            </w:r>
          </w:p>
        </w:tc>
        <w:tc>
          <w:tcPr>
            <w:tcW w:type="dxa" w:w="6240"/>
            <w:tcBorders>
              <w:top w:val="single" w:color="B0C4DE" w:sz="1"/>
              <w:left w:val="single" w:color="B0C4DE" w:sz="1"/>
              <w:bottom w:val="single" w:color="B0C4DE" w:sz="1"/>
              <w:right w:val="single" w:color="B0C4DE" w:sz="1"/>
            </w:tcBorders>
          </w:tcPr>
          <w:p>
            <w:r>
              <w:t xml:space="preserve">Dana Ortiz, Sr. Manager, Governance, Risk &amp; Compliance</w:t>
            </w:r>
          </w:p>
        </w:tc>
      </w:tr>
      <w:tr>
        <w:tc>
          <w:tcPr>
            <w:tcW w:type="dxa" w:w="3120"/>
            <w:tcBorders>
              <w:top w:val="single" w:color="B0C4DE" w:sz="1"/>
              <w:left w:val="single" w:color="B0C4DE" w:sz="1"/>
              <w:bottom w:val="single" w:color="B0C4DE" w:sz="1"/>
              <w:right w:val="single" w:color="B0C4DE" w:sz="1"/>
            </w:tcBorders>
            <w:shd w:fill="E8ECF7" w:val="clear"/>
          </w:tcPr>
          <w:p>
            <w:r>
              <w:rPr>
                <w:b/>
                <w:bCs/>
              </w:rPr>
              <w:t xml:space="preserve">Participants</w:t>
            </w:r>
          </w:p>
        </w:tc>
        <w:tc>
          <w:tcPr>
            <w:tcW w:type="dxa" w:w="6240"/>
            <w:tcBorders>
              <w:top w:val="single" w:color="B0C4DE" w:sz="1"/>
              <w:left w:val="single" w:color="B0C4DE" w:sz="1"/>
              <w:bottom w:val="single" w:color="B0C4DE" w:sz="1"/>
              <w:right w:val="single" w:color="B0C4DE" w:sz="1"/>
            </w:tcBorders>
          </w:tcPr>
          <w:p>
            <w:r>
              <w:t xml:space="preserve">Security, Engineering, Legal, Customer Communications, Incident Commander</w:t>
            </w:r>
          </w:p>
        </w:tc>
      </w:tr>
      <w:tr>
        <w:tc>
          <w:tcPr>
            <w:tcW w:type="dxa" w:w="3120"/>
            <w:tcBorders>
              <w:top w:val="single" w:color="B0C4DE" w:sz="1"/>
              <w:left w:val="single" w:color="B0C4DE" w:sz="1"/>
              <w:bottom w:val="single" w:color="B0C4DE" w:sz="1"/>
              <w:right w:val="single" w:color="B0C4DE" w:sz="1"/>
            </w:tcBorders>
            <w:shd w:fill="E8ECF7" w:val="clear"/>
          </w:tcPr>
          <w:p>
            <w:r>
              <w:rPr>
                <w:b/>
                <w:bCs/>
              </w:rPr>
              <w:t xml:space="preserve">Objectives</w:t>
            </w:r>
          </w:p>
        </w:tc>
        <w:tc>
          <w:tcPr>
            <w:tcW w:type="dxa" w:w="6240"/>
            <w:tcBorders>
              <w:top w:val="single" w:color="B0C4DE" w:sz="1"/>
              <w:left w:val="single" w:color="B0C4DE" w:sz="1"/>
              <w:bottom w:val="single" w:color="B0C4DE" w:sz="1"/>
              <w:right w:val="single" w:color="B0C4DE" w:sz="1"/>
            </w:tcBorders>
          </w:tcPr>
          <w:p>
            <w:r>
              <w:t xml:space="preserve">Validate escalation, legal notification, customer comms readiness, tooling coverage</w:t>
            </w:r>
          </w:p>
        </w:tc>
      </w:tr>
    </w:tbl>
    <w:p>
      <w:pPr>
        <w:spacing w:before="360"/>
      </w:pPr>
    </w:p>
    <w:p>
      <w:pPr>
        <w:pStyle w:val="Heading1"/>
      </w:pPr>
      <w:r>
        <w:t xml:space="preserve">1. Executive Summary</w:t>
      </w:r>
    </w:p>
    <w:p>
      <w:pPr>
        <w:spacing w:after="180"/>
      </w:pPr>
      <w:r>
        <w:t xml:space="preserve">Ostrai simulated a credential compromise leading to potential production data exfiltration. The exercise validated end-to-end incident workflows, surfaced automation gaps in contact list sync, and confirmed customer messaging templates for regulated notifications.</w:t>
      </w:r>
    </w:p>
    <w:p>
      <w:pPr>
        <w:pStyle w:val="Heading1"/>
      </w:pPr>
      <w:r>
        <w:t xml:space="preserve">2. Scenario Timeline</w:t>
      </w:r>
    </w:p>
    <w:p>
      <w:pPr>
        <w:pStyle w:val="Heading2"/>
      </w:pPr>
      <w:r>
        <w:t xml:space="preserve">09:05 — Detection</w:t>
      </w:r>
    </w:p>
    <w:p>
      <w:pPr>
        <w:pStyle w:val="ListParagraph"/>
        <w:numPr>
          <w:ilvl w:val="0"/>
          <w:numId w:val="2"/>
        </w:numPr>
        <w:spacing w:after="0"/>
      </w:pPr>
      <w:r>
        <w:t xml:space="preserve">SIEM anomaly alert flagged privileged login from unrecognized geography.</w:t>
      </w:r>
    </w:p>
    <w:p>
      <w:pPr>
        <w:pStyle w:val="ListParagraph"/>
        <w:numPr>
          <w:ilvl w:val="0"/>
          <w:numId w:val="2"/>
        </w:numPr>
        <w:spacing w:after="0"/>
      </w:pPr>
      <w:r>
        <w:t xml:space="preserve">Incident Commander activated PagerDuty bridge and notified SecOps channel.</w:t>
      </w:r>
    </w:p>
    <w:p>
      <w:pPr>
        <w:pStyle w:val="Heading2"/>
      </w:pPr>
      <w:r>
        <w:t xml:space="preserve">09:18 — Initial Response</w:t>
      </w:r>
    </w:p>
    <w:p>
      <w:pPr>
        <w:pStyle w:val="ListParagraph"/>
        <w:numPr>
          <w:ilvl w:val="0"/>
          <w:numId w:val="2"/>
        </w:numPr>
        <w:spacing w:after="0"/>
      </w:pPr>
      <w:r>
        <w:t xml:space="preserve">Legal prepared regulatory notification decision tree with Privacy officer.</w:t>
      </w:r>
    </w:p>
    <w:p>
      <w:pPr>
        <w:pStyle w:val="ListParagraph"/>
        <w:numPr>
          <w:ilvl w:val="0"/>
          <w:numId w:val="2"/>
        </w:numPr>
        <w:spacing w:after="0"/>
      </w:pPr>
      <w:r>
        <w:t xml:space="preserve">Engineering initiated database snapshot and tightened IAM policies.</w:t>
      </w:r>
    </w:p>
    <w:p>
      <w:pPr>
        <w:pStyle w:val="Heading2"/>
      </w:pPr>
      <w:r>
        <w:t xml:space="preserve">09:37 — Containment</w:t>
      </w:r>
    </w:p>
    <w:p>
      <w:pPr>
        <w:pStyle w:val="ListParagraph"/>
        <w:numPr>
          <w:ilvl w:val="0"/>
          <w:numId w:val="2"/>
        </w:numPr>
        <w:spacing w:after="0"/>
      </w:pPr>
      <w:r>
        <w:t xml:space="preserve">Firewall blocks applied; new IAM role assume policy enforced break-glass procedure.</w:t>
      </w:r>
    </w:p>
    <w:p>
      <w:pPr>
        <w:pStyle w:val="ListParagraph"/>
        <w:numPr>
          <w:ilvl w:val="0"/>
          <w:numId w:val="2"/>
        </w:numPr>
        <w:spacing w:after="0"/>
      </w:pPr>
      <w:r>
        <w:t xml:space="preserve">Communications drafted customer statement and staged in templated workspace.</w:t>
      </w:r>
    </w:p>
    <w:p>
      <w:pPr>
        <w:pStyle w:val="Heading2"/>
      </w:pPr>
      <w:r>
        <w:t xml:space="preserve">10:12 — Eradication &amp; Recovery</w:t>
      </w:r>
    </w:p>
    <w:p>
      <w:pPr>
        <w:pStyle w:val="ListParagraph"/>
        <w:numPr>
          <w:ilvl w:val="0"/>
          <w:numId w:val="2"/>
        </w:numPr>
        <w:spacing w:after="0"/>
      </w:pPr>
      <w:r>
        <w:t xml:space="preserve">Access keys rotated for impacted admin accounts.</w:t>
      </w:r>
    </w:p>
    <w:p>
      <w:pPr>
        <w:pStyle w:val="ListParagraph"/>
        <w:numPr>
          <w:ilvl w:val="0"/>
          <w:numId w:val="2"/>
        </w:numPr>
        <w:spacing w:after="0"/>
      </w:pPr>
      <w:r>
        <w:t xml:space="preserve">Incident Commander validated log capture requirements and declared steady state.</w:t>
      </w:r>
    </w:p>
    <w:p>
      <w:pPr>
        <w:pStyle w:val="Heading1"/>
      </w:pPr>
      <w:r>
        <w:t xml:space="preserve">3. Roles &amp; Responsibilities</w:t>
      </w:r>
    </w:p>
    <w:p>
      <w:pPr>
        <w:pStyle w:val="Heading2"/>
      </w:pPr>
      <w:r>
        <w:t xml:space="preserve">Security Operations</w:t>
      </w:r>
    </w:p>
    <w:p>
      <w:pPr>
        <w:pStyle w:val="ListParagraph"/>
        <w:numPr>
          <w:ilvl w:val="0"/>
          <w:numId w:val="2"/>
        </w:numPr>
        <w:spacing w:after="0"/>
      </w:pPr>
      <w:r>
        <w:t xml:space="preserve">Maintained incident bridge, coordinated cross-functional updates every 15 minutes.</w:t>
      </w:r>
    </w:p>
    <w:p>
      <w:pPr>
        <w:pStyle w:val="ListParagraph"/>
        <w:numPr>
          <w:ilvl w:val="0"/>
          <w:numId w:val="2"/>
        </w:numPr>
        <w:spacing w:after="0"/>
      </w:pPr>
      <w:r>
        <w:t xml:space="preserve">Tracked forensic evidence checklist in Incident.io channel.</w:t>
      </w:r>
    </w:p>
    <w:p>
      <w:pPr>
        <w:pStyle w:val="ListParagraph"/>
        <w:numPr>
          <w:ilvl w:val="0"/>
          <w:numId w:val="2"/>
        </w:numPr>
        <w:spacing w:after="0"/>
      </w:pPr>
      <w:r>
        <w:t xml:space="preserve">Documented root cause hypotheses and IR timeline in real time.</w:t>
      </w:r>
    </w:p>
    <w:p>
      <w:pPr>
        <w:pStyle w:val="Heading2"/>
      </w:pPr>
      <w:r>
        <w:t xml:space="preserve">Engineering</w:t>
      </w:r>
    </w:p>
    <w:p>
      <w:pPr>
        <w:pStyle w:val="ListParagraph"/>
        <w:numPr>
          <w:ilvl w:val="0"/>
          <w:numId w:val="2"/>
        </w:numPr>
        <w:spacing w:after="0"/>
      </w:pPr>
      <w:r>
        <w:t xml:space="preserve">Executed IAM lockdown script and implemented temporary firewall rules.</w:t>
      </w:r>
    </w:p>
    <w:p>
      <w:pPr>
        <w:pStyle w:val="ListParagraph"/>
        <w:numPr>
          <w:ilvl w:val="0"/>
          <w:numId w:val="2"/>
        </w:numPr>
        <w:spacing w:after="0"/>
      </w:pPr>
      <w:r>
        <w:t xml:space="preserve">Captured RDS snapshots and CloudTrail logs for ongoing investigation.</w:t>
      </w:r>
    </w:p>
    <w:p>
      <w:pPr>
        <w:pStyle w:val="ListParagraph"/>
        <w:numPr>
          <w:ilvl w:val="0"/>
          <w:numId w:val="2"/>
        </w:numPr>
        <w:spacing w:after="0"/>
      </w:pPr>
      <w:r>
        <w:t xml:space="preserve">Drove service restoration checklist with parallel test execution.</w:t>
      </w:r>
    </w:p>
    <w:p>
      <w:pPr>
        <w:pStyle w:val="Heading2"/>
      </w:pPr>
      <w:r>
        <w:t xml:space="preserve">Legal &amp; Compliance</w:t>
      </w:r>
    </w:p>
    <w:p>
      <w:pPr>
        <w:pStyle w:val="ListParagraph"/>
        <w:numPr>
          <w:ilvl w:val="0"/>
          <w:numId w:val="2"/>
        </w:numPr>
        <w:spacing w:after="0"/>
      </w:pPr>
      <w:r>
        <w:t xml:space="preserve">Assessed breach determination per GDPR and HIPAA timelines.</w:t>
      </w:r>
    </w:p>
    <w:p>
      <w:pPr>
        <w:pStyle w:val="ListParagraph"/>
        <w:numPr>
          <w:ilvl w:val="0"/>
          <w:numId w:val="2"/>
        </w:numPr>
        <w:spacing w:after="0"/>
      </w:pPr>
      <w:r>
        <w:t xml:space="preserve">Coordinated outside counsel availability for potential notification follow-up.</w:t>
      </w:r>
    </w:p>
    <w:p>
      <w:pPr>
        <w:pStyle w:val="ListParagraph"/>
        <w:numPr>
          <w:ilvl w:val="0"/>
          <w:numId w:val="2"/>
        </w:numPr>
        <w:spacing w:after="0"/>
      </w:pPr>
      <w:r>
        <w:t xml:space="preserve">Maintained evidence retention requirements and chain-of-custody log.</w:t>
      </w:r>
    </w:p>
    <w:p>
      <w:pPr>
        <w:pStyle w:val="Heading2"/>
      </w:pPr>
      <w:r>
        <w:t xml:space="preserve">Customer Communications</w:t>
      </w:r>
    </w:p>
    <w:p>
      <w:pPr>
        <w:pStyle w:val="ListParagraph"/>
        <w:numPr>
          <w:ilvl w:val="0"/>
          <w:numId w:val="2"/>
        </w:numPr>
        <w:spacing w:after="0"/>
      </w:pPr>
      <w:r>
        <w:t xml:space="preserve">Drafted proactive holding statement for leadership approval.</w:t>
      </w:r>
    </w:p>
    <w:p>
      <w:pPr>
        <w:pStyle w:val="ListParagraph"/>
        <w:numPr>
          <w:ilvl w:val="0"/>
          <w:numId w:val="2"/>
        </w:numPr>
        <w:spacing w:after="0"/>
      </w:pPr>
      <w:r>
        <w:t xml:space="preserve">Updated status page template and ensured translations were queued.</w:t>
      </w:r>
    </w:p>
    <w:p>
      <w:pPr>
        <w:pStyle w:val="ListParagraph"/>
        <w:numPr>
          <w:ilvl w:val="0"/>
          <w:numId w:val="2"/>
        </w:numPr>
        <w:spacing w:after="0"/>
      </w:pPr>
      <w:r>
        <w:t xml:space="preserve">Confirmed contact list accuracy; flagged need for automated sync to PagerDuty.</w:t>
      </w:r>
    </w:p>
    <w:p>
      <w:pPr>
        <w:pStyle w:val="Heading1"/>
      </w:pPr>
      <w:r>
        <w:t xml:space="preserve">4. Lessons Learned</w:t>
      </w:r>
    </w:p>
    <w:p>
      <w:pPr>
        <w:pStyle w:val="ListParagraph"/>
        <w:numPr>
          <w:ilvl w:val="0"/>
          <w:numId w:val="2"/>
        </w:numPr>
        <w:spacing w:after="0"/>
      </w:pPr>
      <w:r>
        <w:t xml:space="preserve">Contact list synchronization to PagerDuty must be automated weekly to avoid stale data.</w:t>
      </w:r>
    </w:p>
    <w:p>
      <w:pPr>
        <w:pStyle w:val="ListParagraph"/>
        <w:numPr>
          <w:ilvl w:val="0"/>
          <w:numId w:val="2"/>
        </w:numPr>
        <w:spacing w:after="0"/>
      </w:pPr>
      <w:r>
        <w:t xml:space="preserve">Customer messaging templates should be version controlled with clear approval history.</w:t>
      </w:r>
    </w:p>
    <w:p>
      <w:pPr>
        <w:pStyle w:val="ListParagraph"/>
        <w:numPr>
          <w:ilvl w:val="0"/>
          <w:numId w:val="2"/>
        </w:numPr>
        <w:spacing w:after="0"/>
      </w:pPr>
      <w:r>
        <w:t xml:space="preserve">Secure enclave for forensic artifact storage requires documented access break-glass procedure.</w:t>
      </w:r>
    </w:p>
    <w:p>
      <w:pPr>
        <w:pStyle w:val="Heading1"/>
      </w:pPr>
      <w:r>
        <w:t xml:space="preserve">5. Remediation Tasks</w:t>
      </w:r>
    </w:p>
    <w:tbl>
      <w:tblPr>
        <w:tblW w:type="auto" w:w="1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340"/>
        <w:gridCol w:w="2340"/>
        <w:gridCol w:w="4680"/>
      </w:tblGrid>
      <w:tr>
        <w:tc>
          <w:tcPr>
            <w:tcW w:type="dxa" w:w="2340"/>
            <w:tcBorders>
              <w:top w:val="single" w:color="B0C4DE" w:sz="1"/>
              <w:left w:val="single" w:color="B0C4DE" w:sz="1"/>
              <w:bottom w:val="single" w:color="B0C4DE" w:sz="1"/>
              <w:right w:val="single" w:color="B0C4DE" w:sz="1"/>
            </w:tcBorders>
            <w:shd w:fill="152238" w:val="clear"/>
          </w:tcPr>
          <w:p>
            <w:pPr>
              <w:jc w:val="center"/>
            </w:pPr>
            <w:r>
              <w:rPr>
                <w:b/>
                <w:bCs/>
                <w:color w:val="FFFFFF"/>
              </w:rPr>
              <w:t xml:space="preserve">Task ID</w:t>
            </w:r>
          </w:p>
        </w:tc>
        <w:tc>
          <w:tcPr>
            <w:tcW w:type="dxa" w:w="2340"/>
            <w:tcBorders>
              <w:top w:val="single" w:color="B0C4DE" w:sz="1"/>
              <w:left w:val="single" w:color="B0C4DE" w:sz="1"/>
              <w:bottom w:val="single" w:color="B0C4DE" w:sz="1"/>
              <w:right w:val="single" w:color="B0C4DE" w:sz="1"/>
            </w:tcBorders>
            <w:shd w:fill="152238" w:val="clear"/>
          </w:tcPr>
          <w:p>
            <w:pPr>
              <w:jc w:val="center"/>
            </w:pPr>
            <w:r>
              <w:rPr>
                <w:b/>
                <w:bCs/>
                <w:color w:val="FFFFFF"/>
              </w:rPr>
              <w:t xml:space="preserve">Owner</w:t>
            </w:r>
          </w:p>
        </w:tc>
        <w:tc>
          <w:tcPr>
            <w:tcW w:type="dxa" w:w="4680"/>
            <w:tcBorders>
              <w:top w:val="single" w:color="B0C4DE" w:sz="1"/>
              <w:left w:val="single" w:color="B0C4DE" w:sz="1"/>
              <w:bottom w:val="single" w:color="B0C4DE" w:sz="1"/>
              <w:right w:val="single" w:color="B0C4DE" w:sz="1"/>
            </w:tcBorders>
            <w:shd w:fill="152238" w:val="clear"/>
          </w:tcPr>
          <w:p>
            <w:pPr>
              <w:jc w:val="center"/>
            </w:pPr>
            <w:r>
              <w:rPr>
                <w:b/>
                <w:bCs/>
                <w:color w:val="FFFFFF"/>
              </w:rPr>
              <w:t xml:space="preserve">Action / Due / Status</w:t>
            </w:r>
          </w:p>
        </w:tc>
      </w:tr>
      <w:tr>
        <w:tc>
          <w:tcPr>
            <w:tcW w:type="dxa" w:w="2340"/>
            <w:tcBorders>
              <w:top w:val="single" w:color="B0C4DE" w:sz="1"/>
              <w:left w:val="single" w:color="B0C4DE" w:sz="1"/>
              <w:bottom w:val="single" w:color="B0C4DE" w:sz="1"/>
              <w:right w:val="single" w:color="B0C4DE" w:sz="1"/>
            </w:tcBorders>
          </w:tcPr>
          <w:p>
            <w:r>
              <w:rPr>
                <w:b/>
                <w:bCs/>
              </w:rPr>
              <w:t xml:space="preserve">IR-2025-001</w:t>
            </w:r>
          </w:p>
        </w:tc>
        <w:tc>
          <w:tcPr>
            <w:tcW w:type="dxa" w:w="2340"/>
            <w:tcBorders>
              <w:top w:val="single" w:color="B0C4DE" w:sz="1"/>
              <w:left w:val="single" w:color="B0C4DE" w:sz="1"/>
              <w:bottom w:val="single" w:color="B0C4DE" w:sz="1"/>
              <w:right w:val="single" w:color="B0C4DE" w:sz="1"/>
            </w:tcBorders>
          </w:tcPr>
          <w:p>
            <w:r>
              <w:t xml:space="preserve">SecOps</w:t>
            </w:r>
          </w:p>
        </w:tc>
        <w:tc>
          <w:tcPr>
            <w:tcW w:type="dxa" w:w="4680"/>
            <w:tcBorders>
              <w:top w:val="single" w:color="B0C4DE" w:sz="1"/>
              <w:left w:val="single" w:color="B0C4DE" w:sz="1"/>
              <w:bottom w:val="single" w:color="B0C4DE" w:sz="1"/>
              <w:right w:val="single" w:color="B0C4DE" w:sz="1"/>
            </w:tcBorders>
          </w:tcPr>
          <w:p>
            <w:r>
              <w:t xml:space="preserve">Automate contact list synchronization into PagerDuty using HRIS webhook integration.</w:t>
            </w:r>
          </w:p>
          <w:p>
            <w:r>
              <w:rPr>
                <w:i/>
                <w:iCs/>
              </w:rPr>
              <w:t xml:space="preserve">Due: 2025-11-05</w:t>
            </w:r>
            <w:r>
              <w:rPr>
                <w:i/>
                <w:iCs/>
              </w:rPr>
              <w:t xml:space="preserve">   |   Status: In Progress</w:t>
            </w:r>
          </w:p>
        </w:tc>
      </w:tr>
      <w:tr>
        <w:tc>
          <w:tcPr>
            <w:tcW w:type="dxa" w:w="2340"/>
            <w:tcBorders>
              <w:top w:val="single" w:color="B0C4DE" w:sz="1"/>
              <w:left w:val="single" w:color="B0C4DE" w:sz="1"/>
              <w:bottom w:val="single" w:color="B0C4DE" w:sz="1"/>
              <w:right w:val="single" w:color="B0C4DE" w:sz="1"/>
            </w:tcBorders>
          </w:tcPr>
          <w:p>
            <w:r>
              <w:rPr>
                <w:b/>
                <w:bCs/>
              </w:rPr>
              <w:t xml:space="preserve">IR-2025-002</w:t>
            </w:r>
          </w:p>
        </w:tc>
        <w:tc>
          <w:tcPr>
            <w:tcW w:type="dxa" w:w="2340"/>
            <w:tcBorders>
              <w:top w:val="single" w:color="B0C4DE" w:sz="1"/>
              <w:left w:val="single" w:color="B0C4DE" w:sz="1"/>
              <w:bottom w:val="single" w:color="B0C4DE" w:sz="1"/>
              <w:right w:val="single" w:color="B0C4DE" w:sz="1"/>
            </w:tcBorders>
          </w:tcPr>
          <w:p>
            <w:r>
              <w:t xml:space="preserve">Comms</w:t>
            </w:r>
          </w:p>
        </w:tc>
        <w:tc>
          <w:tcPr>
            <w:tcW w:type="dxa" w:w="4680"/>
            <w:tcBorders>
              <w:top w:val="single" w:color="B0C4DE" w:sz="1"/>
              <w:left w:val="single" w:color="B0C4DE" w:sz="1"/>
              <w:bottom w:val="single" w:color="B0C4DE" w:sz="1"/>
              <w:right w:val="single" w:color="B0C4DE" w:sz="1"/>
            </w:tcBorders>
          </w:tcPr>
          <w:p>
            <w:r>
              <w:t xml:space="preserve">Finalize customer messaging templates and archive in restricted SharePoint library.</w:t>
            </w:r>
          </w:p>
          <w:p>
            <w:r>
              <w:rPr>
                <w:i/>
                <w:iCs/>
              </w:rPr>
              <w:t xml:space="preserve">Due: 2025-11-07</w:t>
            </w:r>
            <w:r>
              <w:rPr>
                <w:i/>
                <w:iCs/>
              </w:rPr>
              <w:t xml:space="preserve">   |   Status: Scheduled</w:t>
            </w:r>
          </w:p>
        </w:tc>
      </w:tr>
      <w:tr>
        <w:tc>
          <w:tcPr>
            <w:tcW w:type="dxa" w:w="2340"/>
            <w:tcBorders>
              <w:top w:val="single" w:color="B0C4DE" w:sz="1"/>
              <w:left w:val="single" w:color="B0C4DE" w:sz="1"/>
              <w:bottom w:val="single" w:color="B0C4DE" w:sz="1"/>
              <w:right w:val="single" w:color="B0C4DE" w:sz="1"/>
            </w:tcBorders>
          </w:tcPr>
          <w:p>
            <w:r>
              <w:rPr>
                <w:b/>
                <w:bCs/>
              </w:rPr>
              <w:t xml:space="preserve">IR-2025-003</w:t>
            </w:r>
          </w:p>
        </w:tc>
        <w:tc>
          <w:tcPr>
            <w:tcW w:type="dxa" w:w="2340"/>
            <w:tcBorders>
              <w:top w:val="single" w:color="B0C4DE" w:sz="1"/>
              <w:left w:val="single" w:color="B0C4DE" w:sz="1"/>
              <w:bottom w:val="single" w:color="B0C4DE" w:sz="1"/>
              <w:right w:val="single" w:color="B0C4DE" w:sz="1"/>
            </w:tcBorders>
          </w:tcPr>
          <w:p>
            <w:r>
              <w:t xml:space="preserve">Engineering</w:t>
            </w:r>
          </w:p>
        </w:tc>
        <w:tc>
          <w:tcPr>
            <w:tcW w:type="dxa" w:w="4680"/>
            <w:tcBorders>
              <w:top w:val="single" w:color="B0C4DE" w:sz="1"/>
              <w:left w:val="single" w:color="B0C4DE" w:sz="1"/>
              <w:bottom w:val="single" w:color="B0C4DE" w:sz="1"/>
              <w:right w:val="single" w:color="B0C4DE" w:sz="1"/>
            </w:tcBorders>
          </w:tcPr>
          <w:p>
            <w:r>
              <w:t xml:space="preserve">Document playbook for emergency IAM lockdown including approval matrix.</w:t>
            </w:r>
          </w:p>
          <w:p>
            <w:r>
              <w:rPr>
                <w:i/>
                <w:iCs/>
              </w:rPr>
              <w:t xml:space="preserve">Due: 2025-11-12</w:t>
            </w:r>
            <w:r>
              <w:rPr>
                <w:i/>
                <w:iCs/>
              </w:rPr>
              <w:t xml:space="preserve">   |   Status: Ready</w:t>
            </w:r>
          </w:p>
        </w:tc>
      </w:tr>
    </w:tbl>
    <w:p>
      <w:pPr>
        <w:pStyle w:val="Heading1"/>
      </w:pPr>
      <w:r>
        <w:t xml:space="preserve">6. Control Mapping</w:t>
      </w:r>
    </w:p>
    <w:tbl>
      <w:tblPr>
        <w:tblW w:type="auto" w:w="1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20"/>
        <w:gridCol w:w="1560"/>
        <w:gridCol w:w="4680"/>
      </w:tblGrid>
      <w:tr>
        <w:tc>
          <w:tcPr>
            <w:tcW w:type="dxa" w:w="3120"/>
            <w:tcBorders>
              <w:top w:val="single" w:color="B0C4DE" w:sz="1"/>
              <w:left w:val="single" w:color="B0C4DE" w:sz="1"/>
              <w:bottom w:val="single" w:color="B0C4DE" w:sz="1"/>
              <w:right w:val="single" w:color="B0C4DE" w:sz="1"/>
            </w:tcBorders>
            <w:shd w:fill="1E2F55" w:val="clear"/>
          </w:tcPr>
          <w:p>
            <w:pPr>
              <w:jc w:val="center"/>
            </w:pPr>
            <w:r>
              <w:rPr>
                <w:b/>
                <w:bCs/>
                <w:color w:val="FFFFFF"/>
              </w:rPr>
              <w:t xml:space="preserve">Framework Control</w:t>
            </w:r>
          </w:p>
        </w:tc>
        <w:tc>
          <w:tcPr>
            <w:tcW w:type="dxa" w:w="1560"/>
            <w:tcBorders>
              <w:top w:val="single" w:color="B0C4DE" w:sz="1"/>
              <w:left w:val="single" w:color="B0C4DE" w:sz="1"/>
              <w:bottom w:val="single" w:color="B0C4DE" w:sz="1"/>
              <w:right w:val="single" w:color="B0C4DE" w:sz="1"/>
            </w:tcBorders>
            <w:shd w:fill="1E2F55" w:val="clear"/>
          </w:tcPr>
          <w:p>
            <w:pPr>
              <w:jc w:val="center"/>
            </w:pPr>
            <w:r>
              <w:rPr>
                <w:b/>
                <w:bCs/>
                <w:color w:val="FFFFFF"/>
              </w:rPr>
              <w:t xml:space="preserve">Status</w:t>
            </w:r>
          </w:p>
        </w:tc>
        <w:tc>
          <w:tcPr>
            <w:tcW w:type="dxa" w:w="4680"/>
            <w:tcBorders>
              <w:top w:val="single" w:color="B0C4DE" w:sz="1"/>
              <w:left w:val="single" w:color="B0C4DE" w:sz="1"/>
              <w:bottom w:val="single" w:color="B0C4DE" w:sz="1"/>
              <w:right w:val="single" w:color="B0C4DE" w:sz="1"/>
            </w:tcBorders>
            <w:shd w:fill="1E2F55" w:val="clear"/>
          </w:tcPr>
          <w:p>
            <w:pPr>
              <w:jc w:val="center"/>
            </w:pPr>
            <w:r>
              <w:rPr>
                <w:b/>
                <w:bCs/>
                <w:color w:val="FFFFFF"/>
              </w:rPr>
              <w:t xml:space="preserve">Notes</w:t>
            </w:r>
          </w:p>
        </w:tc>
      </w:tr>
      <w:tr>
        <w:tc>
          <w:tcPr>
            <w:tcW w:type="dxa" w:w="3120"/>
            <w:tcBorders>
              <w:top w:val="single" w:color="B0C4DE" w:sz="1"/>
              <w:left w:val="single" w:color="B0C4DE" w:sz="1"/>
              <w:bottom w:val="single" w:color="B0C4DE" w:sz="1"/>
              <w:right w:val="single" w:color="B0C4DE" w:sz="1"/>
            </w:tcBorders>
          </w:tcPr>
          <w:p>
            <w:r>
              <w:rPr>
                <w:b/>
                <w:bCs/>
              </w:rPr>
              <w:t xml:space="preserve">SOC 2 CC1.2</w:t>
            </w:r>
          </w:p>
        </w:tc>
        <w:tc>
          <w:tcPr>
            <w:tcW w:type="dxa" w:w="1560"/>
            <w:tcBorders>
              <w:top w:val="single" w:color="B0C4DE" w:sz="1"/>
              <w:left w:val="single" w:color="B0C4DE" w:sz="1"/>
              <w:bottom w:val="single" w:color="B0C4DE" w:sz="1"/>
              <w:right w:val="single" w:color="B0C4DE" w:sz="1"/>
            </w:tcBorders>
          </w:tcPr>
          <w:p>
            <w:pPr>
              <w:jc w:val="center"/>
            </w:pPr>
            <w:r>
              <w:t xml:space="preserve">Effective</w:t>
            </w:r>
          </w:p>
        </w:tc>
        <w:tc>
          <w:tcPr>
            <w:tcW w:type="dxa" w:w="4680"/>
            <w:tcBorders>
              <w:top w:val="single" w:color="B0C4DE" w:sz="1"/>
              <w:left w:val="single" w:color="B0C4DE" w:sz="1"/>
              <w:bottom w:val="single" w:color="B0C4DE" w:sz="1"/>
              <w:right w:val="single" w:color="B0C4DE" w:sz="1"/>
            </w:tcBorders>
          </w:tcPr>
          <w:p>
            <w:r>
              <w:t xml:space="preserve">Incident response roles validated; post-mortem cadence improved.</w:t>
            </w:r>
          </w:p>
        </w:tc>
      </w:tr>
      <w:tr>
        <w:tc>
          <w:tcPr>
            <w:tcW w:type="dxa" w:w="3120"/>
            <w:tcBorders>
              <w:top w:val="single" w:color="B0C4DE" w:sz="1"/>
              <w:left w:val="single" w:color="B0C4DE" w:sz="1"/>
              <w:bottom w:val="single" w:color="B0C4DE" w:sz="1"/>
              <w:right w:val="single" w:color="B0C4DE" w:sz="1"/>
            </w:tcBorders>
          </w:tcPr>
          <w:p>
            <w:r>
              <w:rPr>
                <w:b/>
                <w:bCs/>
              </w:rPr>
              <w:t xml:space="preserve">ISO 27001 A.5.29</w:t>
            </w:r>
          </w:p>
        </w:tc>
        <w:tc>
          <w:tcPr>
            <w:tcW w:type="dxa" w:w="1560"/>
            <w:tcBorders>
              <w:top w:val="single" w:color="B0C4DE" w:sz="1"/>
              <w:left w:val="single" w:color="B0C4DE" w:sz="1"/>
              <w:bottom w:val="single" w:color="B0C4DE" w:sz="1"/>
              <w:right w:val="single" w:color="B0C4DE" w:sz="1"/>
            </w:tcBorders>
          </w:tcPr>
          <w:p>
            <w:pPr>
              <w:jc w:val="center"/>
            </w:pPr>
            <w:r>
              <w:t xml:space="preserve">Effective</w:t>
            </w:r>
          </w:p>
        </w:tc>
        <w:tc>
          <w:tcPr>
            <w:tcW w:type="dxa" w:w="4680"/>
            <w:tcBorders>
              <w:top w:val="single" w:color="B0C4DE" w:sz="1"/>
              <w:left w:val="single" w:color="B0C4DE" w:sz="1"/>
              <w:bottom w:val="single" w:color="B0C4DE" w:sz="1"/>
              <w:right w:val="single" w:color="B0C4DE" w:sz="1"/>
            </w:tcBorders>
          </w:tcPr>
          <w:p>
            <w:r>
              <w:t xml:space="preserve">Crisis communications plan tested; updates queued for repository.</w:t>
            </w:r>
          </w:p>
        </w:tc>
      </w:tr>
      <w:tr>
        <w:tc>
          <w:tcPr>
            <w:tcW w:type="dxa" w:w="3120"/>
            <w:tcBorders>
              <w:top w:val="single" w:color="B0C4DE" w:sz="1"/>
              <w:left w:val="single" w:color="B0C4DE" w:sz="1"/>
              <w:bottom w:val="single" w:color="B0C4DE" w:sz="1"/>
              <w:right w:val="single" w:color="B0C4DE" w:sz="1"/>
            </w:tcBorders>
          </w:tcPr>
          <w:p>
            <w:r>
              <w:rPr>
                <w:b/>
                <w:bCs/>
              </w:rPr>
              <w:t xml:space="preserve">HIPAA §164.308(a)(6)</w:t>
            </w:r>
          </w:p>
        </w:tc>
        <w:tc>
          <w:tcPr>
            <w:tcW w:type="dxa" w:w="1560"/>
            <w:tcBorders>
              <w:top w:val="single" w:color="B0C4DE" w:sz="1"/>
              <w:left w:val="single" w:color="B0C4DE" w:sz="1"/>
              <w:bottom w:val="single" w:color="B0C4DE" w:sz="1"/>
              <w:right w:val="single" w:color="B0C4DE" w:sz="1"/>
            </w:tcBorders>
          </w:tcPr>
          <w:p>
            <w:pPr>
              <w:jc w:val="center"/>
            </w:pPr>
            <w:r>
              <w:t xml:space="preserve">Needs Update</w:t>
            </w:r>
          </w:p>
        </w:tc>
        <w:tc>
          <w:tcPr>
            <w:tcW w:type="dxa" w:w="4680"/>
            <w:tcBorders>
              <w:top w:val="single" w:color="B0C4DE" w:sz="1"/>
              <w:left w:val="single" w:color="B0C4DE" w:sz="1"/>
              <w:bottom w:val="single" w:color="B0C4DE" w:sz="1"/>
              <w:right w:val="single" w:color="B0C4DE" w:sz="1"/>
            </w:tcBorders>
          </w:tcPr>
          <w:p>
            <w:r>
              <w:t xml:space="preserve">Evidence archive SOP to incorporate new secure enclave process.</w:t>
            </w:r>
          </w:p>
        </w:tc>
      </w:tr>
    </w:tbl>
    <w:p>
      <w:pPr>
        <w:pStyle w:val="Heading1"/>
      </w:pPr>
      <w:r>
        <w:t xml:space="preserve">7. Approvals</w:t>
      </w:r>
    </w:p>
    <w:tbl>
      <w:tblPr>
        <w:tblW w:type="auto" w:w="1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80"/>
        <w:gridCol w:w="4680"/>
      </w:tblGrid>
      <w:tr>
        <w:tc>
          <w:tcPr>
            <w:tcW w:type="dxa" w:w="9360"/>
            <w:tcBorders>
              <w:top w:val="single" w:color="B0C4DE" w:sz="1"/>
              <w:left w:val="single" w:color="B0C4DE" w:sz="1"/>
              <w:bottom w:val="single" w:color="B0C4DE" w:sz="1"/>
              <w:right w:val="single" w:color="B0C4DE" w:sz="1"/>
            </w:tcBorders>
          </w:tcPr>
          <w:p>
            <w:pPr>
              <w:spacing w:after="30"/>
            </w:pPr>
            <w:r>
              <w:rPr>
                <w:b/>
                <w:bCs/>
                <w:color w:val="152238"/>
                <w:sz w:val="20"/>
                <w:szCs w:val="20"/>
              </w:rPr>
              <w:t xml:space="preserve">Prepared by:</w:t>
            </w:r>
          </w:p>
          <w:p>
            <w:pPr>
              <w:spacing w:after="20"/>
            </w:pPr>
            <w:r>
              <w:rPr>
                <w:color w:val="152238"/>
                <w:sz w:val="20"/>
                <w:szCs w:val="20"/>
              </w:rPr>
              <w:t xml:space="preserve">Marcus Lee</w:t>
            </w:r>
          </w:p>
          <w:p>
            <w:pPr>
              <w:spacing w:after="20"/>
            </w:pPr>
            <w:r>
              <w:rPr>
                <w:color w:val="5C6C84"/>
                <w:sz w:val="18"/>
                <w:szCs w:val="18"/>
              </w:rPr>
              <w:t xml:space="preserve">Incident Commander</w:t>
            </w:r>
          </w:p>
          <w:p>
            <w:pPr>
              <w:spacing w:before="40"/>
            </w:pPr>
            <w:r>
              <w:rPr>
                <w:color w:val="95A5A6"/>
              </w:rPr>
              <w:t xml:space="preserve">_______________________________</w:t>
            </w:r>
          </w:p>
        </w:tc>
      </w:tr>
      <w:tr>
        <w:tc>
          <w:tcPr>
            <w:tcW w:type="dxa" w:w="9360"/>
            <w:tcBorders>
              <w:top w:val="single" w:color="B0C4DE" w:sz="1"/>
              <w:left w:val="single" w:color="B0C4DE" w:sz="1"/>
              <w:bottom w:val="single" w:color="B0C4DE" w:sz="1"/>
              <w:right w:val="single" w:color="B0C4DE" w:sz="1"/>
            </w:tcBorders>
          </w:tcPr>
          <w:p>
            <w:pPr>
              <w:spacing w:after="30"/>
            </w:pPr>
            <w:r>
              <w:rPr>
                <w:b/>
                <w:bCs/>
                <w:color w:val="152238"/>
                <w:sz w:val="20"/>
                <w:szCs w:val="20"/>
              </w:rPr>
              <w:t xml:space="preserve">Reviewed by:</w:t>
            </w:r>
          </w:p>
          <w:p>
            <w:pPr>
              <w:spacing w:after="20"/>
            </w:pPr>
            <w:r>
              <w:rPr>
                <w:color w:val="152238"/>
                <w:sz w:val="20"/>
                <w:szCs w:val="20"/>
              </w:rPr>
              <w:t xml:space="preserve">Dana Ortiz</w:t>
            </w:r>
          </w:p>
          <w:p>
            <w:pPr>
              <w:spacing w:after="20"/>
            </w:pPr>
            <w:r>
              <w:rPr>
                <w:color w:val="5C6C84"/>
                <w:sz w:val="18"/>
                <w:szCs w:val="18"/>
              </w:rPr>
              <w:t xml:space="preserve">Director of Governance, Risk &amp; Compliance</w:t>
            </w:r>
          </w:p>
          <w:p>
            <w:pPr>
              <w:spacing w:before="40"/>
            </w:pPr>
            <w:r>
              <w:rPr>
                <w:color w:val="95A5A6"/>
              </w:rPr>
              <w:t xml:space="preserve">_______________________________</w:t>
            </w:r>
          </w:p>
        </w:tc>
      </w:tr>
    </w:tbl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080" w:hanging="360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rFonts w:ascii="Arial" w:cs="Arial" w:eastAsia="Arial" w:hAnsi="Arial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u w:val="single"/>
      <w:color w:val="0563C1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paragraph" w:styleId="Title">
    <w:name w:val="Title"/>
    <w:basedOn w:val="Normal"/>
    <w:pPr>
      <w:spacing w:before="240" w:after="240"/>
      <w:jc w:val="center"/>
    </w:pPr>
    <w:rPr>
      <w:b/>
      <w:bCs/>
      <w:color w:val="152238"/>
      <w:sz w:val="46"/>
      <w:szCs w:val="46"/>
      <w:rFonts w:ascii="Arial" w:cs="Arial" w:eastAsia="Arial" w:hAnsi="Arial"/>
    </w:rPr>
  </w:style>
  <w:style w:type="paragraph" w:styleId="Heading1">
    <w:name w:val="Heading 1"/>
    <w:basedOn w:val="Normal"/>
    <w:pPr>
      <w:spacing w:before="320" w:after="180"/>
      <w:outlineLvl w:val="0"/>
    </w:pPr>
    <w:rPr>
      <w:b/>
      <w:bCs/>
      <w:color w:val="152238"/>
      <w:sz w:val="32"/>
      <w:szCs w:val="32"/>
      <w:rFonts w:ascii="Arial" w:cs="Arial" w:eastAsia="Arial" w:hAnsi="Arial"/>
    </w:rPr>
  </w:style>
  <w:style w:type="paragraph" w:styleId="Heading2">
    <w:name w:val="Heading 2"/>
    <w:basedOn w:val="Normal"/>
    <w:pPr>
      <w:spacing w:before="220" w:after="120"/>
      <w:outlineLvl w:val="1"/>
    </w:pPr>
    <w:rPr>
      <w:b/>
      <w:bCs/>
      <w:color w:val="1E2F55"/>
      <w:sz w:val="26"/>
      <w:szCs w:val="26"/>
      <w:rFonts w:ascii="Arial" w:cs="Arial" w:eastAsia="Arial" w:hAnsi="Arial"/>
    </w:rPr>
  </w:style>
  <w:style w:type="paragraph" w:styleId="Heading3">
    <w:name w:val="Heading 3"/>
    <w:basedOn w:val="Normal"/>
    <w:pPr>
      <w:spacing w:before="180" w:after="100"/>
      <w:outlineLvl w:val="2"/>
    </w:pPr>
    <w:rPr>
      <w:b/>
      <w:bCs/>
      <w:color w:val="1E2F55"/>
      <w:sz w:val="24"/>
      <w:szCs w:val="24"/>
      <w:rFonts w:ascii="Arial" w:cs="Arial" w:eastAsia="Arial" w:hAnsi="Arial"/>
    </w:rPr>
  </w:style>
  <w:style w:type="paragraph" w:styleId="Meta">
    <w:name w:val="Metadata"/>
    <w:pPr>
      <w:spacing w:after="60"/>
    </w:pPr>
    <w:rPr>
      <w:color w:val="5C6C84"/>
      <w:sz w:val="20"/>
      <w:szCs w:val="20"/>
      <w:rFonts w:ascii="Arial" w:cs="Arial" w:eastAsia="Arial" w:hAnsi="Arial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2026-11-08T07:42:09.570Z</dcterms:created>
  <dcterms:modified xsi:type="dcterms:W3CDTF">2026-11-08T07:42:09.570Z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