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Vendor Risk Assessment Workbook</w:t>
      </w:r>
    </w:p>
    <w:p>
      <w:pPr>
        <w:pStyle w:val="Meta"/>
        <w:jc w:val="center"/>
      </w:pPr>
      <w:r>
        <w:t xml:space="preserve">Ostrai, Inc. | Vendor Governance Program</w:t>
      </w:r>
    </w:p>
    <w:p>
      <w:pPr>
        <w:pStyle w:val="Meta"/>
        <w:spacing w:after="400"/>
        <w:jc w:val="center"/>
      </w:pPr>
      <w:r>
        <w:t xml:space="preserve">Assessment ID: VRA-2025-041 | Period: Q3 2025 | Classification: Confidential</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0C4DE" w:sz="1"/>
              <w:left w:val="single" w:color="B0C4DE" w:sz="1"/>
              <w:bottom w:val="single" w:color="B0C4DE" w:sz="1"/>
              <w:right w:val="single" w:color="B0C4DE" w:sz="1"/>
            </w:tcBorders>
            <w:shd w:fill="ECF0F1" w:val="clear"/>
          </w:tcPr>
          <w:p>
            <w:r>
              <w:rPr>
                <w:b/>
                <w:bCs/>
              </w:rPr>
              <w:t xml:space="preserve">Primary Vendor</w:t>
            </w:r>
          </w:p>
        </w:tc>
        <w:tc>
          <w:tcPr>
            <w:tcW w:type="dxa" w:w="6240"/>
            <w:tcBorders>
              <w:top w:val="single" w:color="B0C4DE" w:sz="1"/>
              <w:left w:val="single" w:color="B0C4DE" w:sz="1"/>
              <w:bottom w:val="single" w:color="B0C4DE" w:sz="1"/>
              <w:right w:val="single" w:color="B0C4DE" w:sz="1"/>
            </w:tcBorders>
          </w:tcPr>
          <w:p>
            <w:r>
              <w:t xml:space="preserve">Acme Analytics — Telemetry anomaly detection platform</w:t>
            </w:r>
          </w:p>
        </w:tc>
      </w:tr>
      <w:tr>
        <w:tc>
          <w:tcPr>
            <w:tcW w:type="dxa" w:w="3120"/>
            <w:tcBorders>
              <w:top w:val="single" w:color="B0C4DE" w:sz="1"/>
              <w:left w:val="single" w:color="B0C4DE" w:sz="1"/>
              <w:bottom w:val="single" w:color="B0C4DE" w:sz="1"/>
              <w:right w:val="single" w:color="B0C4DE" w:sz="1"/>
            </w:tcBorders>
            <w:shd w:fill="ECF0F1" w:val="clear"/>
          </w:tcPr>
          <w:p>
            <w:r>
              <w:rPr>
                <w:b/>
                <w:bCs/>
              </w:rPr>
              <w:t xml:space="preserve">Engagement Owner</w:t>
            </w:r>
          </w:p>
        </w:tc>
        <w:tc>
          <w:tcPr>
            <w:tcW w:type="dxa" w:w="6240"/>
            <w:tcBorders>
              <w:top w:val="single" w:color="B0C4DE" w:sz="1"/>
              <w:left w:val="single" w:color="B0C4DE" w:sz="1"/>
              <w:bottom w:val="single" w:color="B0C4DE" w:sz="1"/>
              <w:right w:val="single" w:color="B0C4DE" w:sz="1"/>
            </w:tcBorders>
          </w:tcPr>
          <w:p>
            <w:r>
              <w:t xml:space="preserve">Legal &amp; Compliance (legal@ostrai.io)</w:t>
            </w:r>
          </w:p>
        </w:tc>
      </w:tr>
      <w:tr>
        <w:tc>
          <w:tcPr>
            <w:tcW w:type="dxa" w:w="3120"/>
            <w:tcBorders>
              <w:top w:val="single" w:color="B0C4DE" w:sz="1"/>
              <w:left w:val="single" w:color="B0C4DE" w:sz="1"/>
              <w:bottom w:val="single" w:color="B0C4DE" w:sz="1"/>
              <w:right w:val="single" w:color="B0C4DE" w:sz="1"/>
            </w:tcBorders>
            <w:shd w:fill="ECF0F1" w:val="clear"/>
          </w:tcPr>
          <w:p>
            <w:r>
              <w:rPr>
                <w:b/>
                <w:bCs/>
              </w:rPr>
              <w:t xml:space="preserve">Data Classification</w:t>
            </w:r>
          </w:p>
        </w:tc>
        <w:tc>
          <w:tcPr>
            <w:tcW w:type="dxa" w:w="6240"/>
            <w:tcBorders>
              <w:top w:val="single" w:color="B0C4DE" w:sz="1"/>
              <w:left w:val="single" w:color="B0C4DE" w:sz="1"/>
              <w:bottom w:val="single" w:color="B0C4DE" w:sz="1"/>
              <w:right w:val="single" w:color="B0C4DE" w:sz="1"/>
            </w:tcBorders>
          </w:tcPr>
          <w:p>
            <w:r>
              <w:t xml:space="preserve">Customer operational telemetry (moderate) | Aggregated metadata (low)</w:t>
            </w:r>
          </w:p>
        </w:tc>
      </w:tr>
      <w:tr>
        <w:tc>
          <w:tcPr>
            <w:tcW w:type="dxa" w:w="3120"/>
            <w:tcBorders>
              <w:top w:val="single" w:color="B0C4DE" w:sz="1"/>
              <w:left w:val="single" w:color="B0C4DE" w:sz="1"/>
              <w:bottom w:val="single" w:color="B0C4DE" w:sz="1"/>
              <w:right w:val="single" w:color="B0C4DE" w:sz="1"/>
            </w:tcBorders>
            <w:shd w:fill="ECF0F1" w:val="clear"/>
          </w:tcPr>
          <w:p>
            <w:r>
              <w:rPr>
                <w:b/>
                <w:bCs/>
              </w:rPr>
              <w:t xml:space="preserve">Latest Assessment Score</w:t>
            </w:r>
          </w:p>
        </w:tc>
        <w:tc>
          <w:tcPr>
            <w:tcW w:type="dxa" w:w="6240"/>
            <w:tcBorders>
              <w:top w:val="single" w:color="B0C4DE" w:sz="1"/>
              <w:left w:val="single" w:color="B0C4DE" w:sz="1"/>
              <w:bottom w:val="single" w:color="B0C4DE" w:sz="1"/>
              <w:right w:val="single" w:color="B0C4DE" w:sz="1"/>
            </w:tcBorders>
          </w:tcPr>
          <w:p>
            <w:r>
              <w:t xml:space="preserve">18 / 30 — Medium residual risk</w:t>
            </w:r>
          </w:p>
        </w:tc>
      </w:tr>
    </w:tbl>
    <w:p>
      <w:pPr>
        <w:spacing w:before="360"/>
      </w:pPr>
    </w:p>
    <w:p>
      <w:pPr>
        <w:pStyle w:val="Heading1"/>
      </w:pPr>
      <w:r>
        <w:t xml:space="preserve">1. Assessment Overview</w:t>
      </w:r>
    </w:p>
    <w:p>
      <w:pPr>
        <w:spacing w:after="180"/>
      </w:pPr>
      <w:r>
        <w:t xml:space="preserve">This workbook captures the most recent risk assessment for Acme Analytics, including inherent risk scoring, control alignment across SOC 2, ISO 27001, and HIPAA frameworks, and remediation commitments tracked in Jira project SEC-REV.</w:t>
      </w:r>
    </w:p>
    <w:p>
      <w:pPr>
        <w:pStyle w:val="Heading1"/>
      </w:pPr>
      <w:r>
        <w:t xml:space="preserve">2. Vendor Profile</w:t>
      </w:r>
    </w:p>
    <w:p>
      <w:pPr>
        <w:pStyle w:val="Heading2"/>
      </w:pPr>
      <w:r>
        <w:t xml:space="preserve">2.1 Service Description</w:t>
      </w:r>
    </w:p>
    <w:p>
      <w:pPr>
        <w:pStyle w:val="ListParagraph"/>
        <w:numPr>
          <w:ilvl w:val="0"/>
          <w:numId w:val="2"/>
        </w:numPr>
        <w:spacing w:after="0"/>
      </w:pPr>
      <w:r>
        <w:t xml:space="preserve">Services: Machine learning anomaly detection across production telemetry pipelines.</w:t>
      </w:r>
    </w:p>
    <w:p>
      <w:pPr>
        <w:pStyle w:val="ListParagraph"/>
        <w:numPr>
          <w:ilvl w:val="0"/>
          <w:numId w:val="2"/>
        </w:numPr>
        <w:spacing w:after="0"/>
      </w:pPr>
      <w:r>
        <w:t xml:space="preserve">Hosting: AWS us-east-1 primary region with warm standby in us-west-2.</w:t>
      </w:r>
    </w:p>
    <w:p>
      <w:pPr>
        <w:pStyle w:val="ListParagraph"/>
        <w:numPr>
          <w:ilvl w:val="0"/>
          <w:numId w:val="2"/>
        </w:numPr>
        <w:spacing w:after="0"/>
      </w:pPr>
      <w:r>
        <w:t xml:space="preserve">Integrations: Secure API connection to Ostrai data lake via private VPC endpoints.</w:t>
      </w:r>
    </w:p>
    <w:p>
      <w:pPr>
        <w:pStyle w:val="Heading2"/>
      </w:pPr>
      <w:r>
        <w:t xml:space="preserve">2.2 Data Handling Summary</w:t>
      </w:r>
    </w:p>
    <w:p>
      <w:pPr>
        <w:pStyle w:val="ListParagraph"/>
        <w:numPr>
          <w:ilvl w:val="0"/>
          <w:numId w:val="2"/>
        </w:numPr>
        <w:spacing w:after="0"/>
      </w:pPr>
      <w:r>
        <w:t xml:space="preserve">Data received: Aggregated metrics, limited customer metadata (PII excluded).</w:t>
      </w:r>
    </w:p>
    <w:p>
      <w:pPr>
        <w:pStyle w:val="ListParagraph"/>
        <w:numPr>
          <w:ilvl w:val="0"/>
          <w:numId w:val="2"/>
        </w:numPr>
        <w:spacing w:after="0"/>
      </w:pPr>
      <w:r>
        <w:t xml:space="preserve">Storage: Encrypted at rest using AWS KMS (customer managed keys).</w:t>
      </w:r>
    </w:p>
    <w:p>
      <w:pPr>
        <w:pStyle w:val="ListParagraph"/>
        <w:numPr>
          <w:ilvl w:val="0"/>
          <w:numId w:val="2"/>
        </w:numPr>
        <w:spacing w:after="0"/>
      </w:pPr>
      <w:r>
        <w:t xml:space="preserve">Retention: 35 days rolling unless incident investigation requires extension.</w:t>
      </w:r>
    </w:p>
    <w:p>
      <w:pPr>
        <w:pStyle w:val="Heading1"/>
      </w:pPr>
      <w:r>
        <w:t xml:space="preserve">3. Control Alignment</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1560"/>
        <w:gridCol w:w="4680"/>
      </w:tblGrid>
      <w:tr>
        <w:tc>
          <w:tcPr>
            <w:tcW w:type="dxa" w:w="3120"/>
            <w:tcBorders>
              <w:top w:val="single" w:color="B0C4DE" w:sz="1"/>
              <w:left w:val="single" w:color="B0C4DE" w:sz="1"/>
              <w:bottom w:val="single" w:color="B0C4DE" w:sz="1"/>
              <w:right w:val="single" w:color="B0C4DE" w:sz="1"/>
            </w:tcBorders>
            <w:shd w:fill="1F2A44" w:val="clear"/>
          </w:tcPr>
          <w:p>
            <w:pPr>
              <w:jc w:val="center"/>
            </w:pPr>
            <w:r>
              <w:rPr>
                <w:b/>
                <w:bCs/>
                <w:color w:val="FFFFFF"/>
              </w:rPr>
              <w:t xml:space="preserve">Control</w:t>
            </w:r>
          </w:p>
        </w:tc>
        <w:tc>
          <w:tcPr>
            <w:tcW w:type="dxa" w:w="1560"/>
            <w:tcBorders>
              <w:top w:val="single" w:color="B0C4DE" w:sz="1"/>
              <w:left w:val="single" w:color="B0C4DE" w:sz="1"/>
              <w:bottom w:val="single" w:color="B0C4DE" w:sz="1"/>
              <w:right w:val="single" w:color="B0C4DE" w:sz="1"/>
            </w:tcBorders>
            <w:shd w:fill="1F2A44" w:val="clear"/>
          </w:tcPr>
          <w:p>
            <w:pPr>
              <w:jc w:val="center"/>
            </w:pPr>
            <w:r>
              <w:rPr>
                <w:b/>
                <w:bCs/>
                <w:color w:val="FFFFFF"/>
              </w:rPr>
              <w:t xml:space="preserve">Status</w:t>
            </w:r>
          </w:p>
        </w:tc>
        <w:tc>
          <w:tcPr>
            <w:tcW w:type="dxa" w:w="4680"/>
            <w:tcBorders>
              <w:top w:val="single" w:color="B0C4DE" w:sz="1"/>
              <w:left w:val="single" w:color="B0C4DE" w:sz="1"/>
              <w:bottom w:val="single" w:color="B0C4DE" w:sz="1"/>
              <w:right w:val="single" w:color="B0C4DE" w:sz="1"/>
            </w:tcBorders>
            <w:shd w:fill="1F2A44" w:val="clear"/>
          </w:tcPr>
          <w:p>
            <w:pPr>
              <w:jc w:val="center"/>
            </w:pPr>
            <w:r>
              <w:rPr>
                <w:b/>
                <w:bCs/>
                <w:color w:val="FFFFFF"/>
              </w:rPr>
              <w:t xml:space="preserve">Notes</w:t>
            </w:r>
          </w:p>
        </w:tc>
      </w:tr>
      <w:tr>
        <w:tc>
          <w:tcPr>
            <w:tcW w:type="dxa" w:w="3120"/>
            <w:tcBorders>
              <w:top w:val="single" w:color="B0C4DE" w:sz="1"/>
              <w:left w:val="single" w:color="B0C4DE" w:sz="1"/>
              <w:bottom w:val="single" w:color="B0C4DE" w:sz="1"/>
              <w:right w:val="single" w:color="B0C4DE" w:sz="1"/>
            </w:tcBorders>
          </w:tcPr>
          <w:p>
            <w:r>
              <w:rPr>
                <w:b/>
                <w:bCs/>
              </w:rPr>
              <w:t xml:space="preserve">SOC 2 CC3.3</w:t>
            </w:r>
          </w:p>
        </w:tc>
        <w:tc>
          <w:tcPr>
            <w:tcW w:type="dxa" w:w="1560"/>
            <w:tcBorders>
              <w:top w:val="single" w:color="B0C4DE" w:sz="1"/>
              <w:left w:val="single" w:color="B0C4DE" w:sz="1"/>
              <w:bottom w:val="single" w:color="B0C4DE" w:sz="1"/>
              <w:right w:val="single" w:color="B0C4DE" w:sz="1"/>
            </w:tcBorders>
          </w:tcPr>
          <w:p>
            <w:pPr>
              <w:jc w:val="center"/>
            </w:pPr>
            <w:r>
              <w:t xml:space="preserve">Meets</w:t>
            </w:r>
          </w:p>
        </w:tc>
        <w:tc>
          <w:tcPr>
            <w:tcW w:type="dxa" w:w="4680"/>
            <w:tcBorders>
              <w:top w:val="single" w:color="B0C4DE" w:sz="1"/>
              <w:left w:val="single" w:color="B0C4DE" w:sz="1"/>
              <w:bottom w:val="single" w:color="B0C4DE" w:sz="1"/>
              <w:right w:val="single" w:color="B0C4DE" w:sz="1"/>
            </w:tcBorders>
          </w:tcPr>
          <w:p>
            <w:r>
              <w:t xml:space="preserve">Risk management program documented; annual pen-test completed 2025-08-12.</w:t>
            </w:r>
          </w:p>
        </w:tc>
      </w:tr>
      <w:tr>
        <w:tc>
          <w:tcPr>
            <w:tcW w:type="dxa" w:w="3120"/>
            <w:tcBorders>
              <w:top w:val="single" w:color="B0C4DE" w:sz="1"/>
              <w:left w:val="single" w:color="B0C4DE" w:sz="1"/>
              <w:bottom w:val="single" w:color="B0C4DE" w:sz="1"/>
              <w:right w:val="single" w:color="B0C4DE" w:sz="1"/>
            </w:tcBorders>
          </w:tcPr>
          <w:p>
            <w:r>
              <w:rPr>
                <w:b/>
                <w:bCs/>
              </w:rPr>
              <w:t xml:space="preserve">ISO 27001 A.15.1</w:t>
            </w:r>
          </w:p>
        </w:tc>
        <w:tc>
          <w:tcPr>
            <w:tcW w:type="dxa" w:w="1560"/>
            <w:tcBorders>
              <w:top w:val="single" w:color="B0C4DE" w:sz="1"/>
              <w:left w:val="single" w:color="B0C4DE" w:sz="1"/>
              <w:bottom w:val="single" w:color="B0C4DE" w:sz="1"/>
              <w:right w:val="single" w:color="B0C4DE" w:sz="1"/>
            </w:tcBorders>
          </w:tcPr>
          <w:p>
            <w:pPr>
              <w:jc w:val="center"/>
            </w:pPr>
            <w:r>
              <w:t xml:space="preserve">Partial</w:t>
            </w:r>
          </w:p>
        </w:tc>
        <w:tc>
          <w:tcPr>
            <w:tcW w:type="dxa" w:w="4680"/>
            <w:tcBorders>
              <w:top w:val="single" w:color="B0C4DE" w:sz="1"/>
              <w:left w:val="single" w:color="B0C4DE" w:sz="1"/>
              <w:bottom w:val="single" w:color="B0C4DE" w:sz="1"/>
              <w:right w:val="single" w:color="B0C4DE" w:sz="1"/>
            </w:tcBorders>
          </w:tcPr>
          <w:p>
            <w:r>
              <w:t xml:space="preserve">Supplier security policy in place; needs updated independent audit attestation.</w:t>
            </w:r>
          </w:p>
        </w:tc>
      </w:tr>
      <w:tr>
        <w:tc>
          <w:tcPr>
            <w:tcW w:type="dxa" w:w="3120"/>
            <w:tcBorders>
              <w:top w:val="single" w:color="B0C4DE" w:sz="1"/>
              <w:left w:val="single" w:color="B0C4DE" w:sz="1"/>
              <w:bottom w:val="single" w:color="B0C4DE" w:sz="1"/>
              <w:right w:val="single" w:color="B0C4DE" w:sz="1"/>
            </w:tcBorders>
          </w:tcPr>
          <w:p>
            <w:r>
              <w:rPr>
                <w:b/>
                <w:bCs/>
              </w:rPr>
              <w:t xml:space="preserve">HIPAA §164.308(b)(3)</w:t>
            </w:r>
          </w:p>
        </w:tc>
        <w:tc>
          <w:tcPr>
            <w:tcW w:type="dxa" w:w="1560"/>
            <w:tcBorders>
              <w:top w:val="single" w:color="B0C4DE" w:sz="1"/>
              <w:left w:val="single" w:color="B0C4DE" w:sz="1"/>
              <w:bottom w:val="single" w:color="B0C4DE" w:sz="1"/>
              <w:right w:val="single" w:color="B0C4DE" w:sz="1"/>
            </w:tcBorders>
          </w:tcPr>
          <w:p>
            <w:pPr>
              <w:jc w:val="center"/>
            </w:pPr>
            <w:r>
              <w:t xml:space="preserve">Needs Evidence</w:t>
            </w:r>
          </w:p>
        </w:tc>
        <w:tc>
          <w:tcPr>
            <w:tcW w:type="dxa" w:w="4680"/>
            <w:tcBorders>
              <w:top w:val="single" w:color="B0C4DE" w:sz="1"/>
              <w:left w:val="single" w:color="B0C4DE" w:sz="1"/>
              <w:bottom w:val="single" w:color="B0C4DE" w:sz="1"/>
              <w:right w:val="single" w:color="B0C4DE" w:sz="1"/>
            </w:tcBorders>
          </w:tcPr>
          <w:p>
            <w:r>
              <w:t xml:space="preserve">Awaiting signed Business Associate Agreement renewal with updated breach notification timeline.</w:t>
            </w:r>
          </w:p>
        </w:tc>
      </w:tr>
    </w:tbl>
    <w:p>
      <w:pPr>
        <w:pStyle w:val="Heading1"/>
      </w:pPr>
      <w:r>
        <w:t xml:space="preserve">4. Risk Scoring</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1560"/>
        <w:gridCol w:w="1560"/>
        <w:gridCol w:w="3120"/>
      </w:tblGrid>
      <w:tr>
        <w:tc>
          <w:tcPr>
            <w:tcW w:type="dxa" w:w="3120"/>
            <w:tcBorders>
              <w:top w:val="single" w:color="B0C4DE" w:sz="1"/>
              <w:left w:val="single" w:color="B0C4DE" w:sz="1"/>
              <w:bottom w:val="single" w:color="B0C4DE" w:sz="1"/>
              <w:right w:val="single" w:color="B0C4DE" w:sz="1"/>
            </w:tcBorders>
            <w:shd w:fill="273654" w:val="clear"/>
          </w:tcPr>
          <w:p>
            <w:pPr>
              <w:jc w:val="center"/>
            </w:pPr>
            <w:r>
              <w:rPr>
                <w:b/>
                <w:bCs/>
                <w:color w:val="FFFFFF"/>
              </w:rPr>
              <w:t xml:space="preserve">Dimension</w:t>
            </w:r>
          </w:p>
        </w:tc>
        <w:tc>
          <w:tcPr>
            <w:tcW w:type="dxa" w:w="1560"/>
            <w:tcBorders>
              <w:top w:val="single" w:color="B0C4DE" w:sz="1"/>
              <w:left w:val="single" w:color="B0C4DE" w:sz="1"/>
              <w:bottom w:val="single" w:color="B0C4DE" w:sz="1"/>
              <w:right w:val="single" w:color="B0C4DE" w:sz="1"/>
            </w:tcBorders>
            <w:shd w:fill="273654" w:val="clear"/>
          </w:tcPr>
          <w:p>
            <w:pPr>
              <w:jc w:val="center"/>
            </w:pPr>
            <w:r>
              <w:rPr>
                <w:b/>
                <w:bCs/>
                <w:color w:val="FFFFFF"/>
              </w:rPr>
              <w:t xml:space="preserve">Rating</w:t>
            </w:r>
          </w:p>
        </w:tc>
        <w:tc>
          <w:tcPr>
            <w:tcW w:type="dxa" w:w="1560"/>
            <w:tcBorders>
              <w:top w:val="single" w:color="B0C4DE" w:sz="1"/>
              <w:left w:val="single" w:color="B0C4DE" w:sz="1"/>
              <w:bottom w:val="single" w:color="B0C4DE" w:sz="1"/>
              <w:right w:val="single" w:color="B0C4DE" w:sz="1"/>
            </w:tcBorders>
            <w:shd w:fill="273654" w:val="clear"/>
          </w:tcPr>
          <w:p>
            <w:pPr>
              <w:jc w:val="center"/>
            </w:pPr>
            <w:r>
              <w:rPr>
                <w:b/>
                <w:bCs/>
                <w:color w:val="FFFFFF"/>
              </w:rPr>
              <w:t xml:space="preserve">Score</w:t>
            </w:r>
          </w:p>
        </w:tc>
        <w:tc>
          <w:tcPr>
            <w:tcW w:type="dxa" w:w="3120"/>
            <w:tcBorders>
              <w:top w:val="single" w:color="B0C4DE" w:sz="1"/>
              <w:left w:val="single" w:color="B0C4DE" w:sz="1"/>
              <w:bottom w:val="single" w:color="B0C4DE" w:sz="1"/>
              <w:right w:val="single" w:color="B0C4DE" w:sz="1"/>
            </w:tcBorders>
            <w:shd w:fill="273654" w:val="clear"/>
          </w:tcPr>
          <w:p>
            <w:pPr>
              <w:jc w:val="center"/>
            </w:pPr>
            <w:r>
              <w:rPr>
                <w:b/>
                <w:bCs/>
                <w:color w:val="FFFFFF"/>
              </w:rPr>
              <w:t xml:space="preserve">Rationale</w:t>
            </w:r>
          </w:p>
        </w:tc>
      </w:tr>
      <w:tr>
        <w:tc>
          <w:tcPr>
            <w:tcW w:type="dxa" w:w="3120"/>
            <w:tcBorders>
              <w:top w:val="single" w:color="B0C4DE" w:sz="1"/>
              <w:left w:val="single" w:color="B0C4DE" w:sz="1"/>
              <w:bottom w:val="single" w:color="B0C4DE" w:sz="1"/>
              <w:right w:val="single" w:color="B0C4DE" w:sz="1"/>
            </w:tcBorders>
          </w:tcPr>
          <w:p>
            <w:r>
              <w:rPr>
                <w:b/>
                <w:bCs/>
              </w:rPr>
              <w:t xml:space="preserve">Inherent impact</w:t>
            </w:r>
          </w:p>
        </w:tc>
        <w:tc>
          <w:tcPr>
            <w:tcW w:type="dxa" w:w="1560"/>
            <w:tcBorders>
              <w:top w:val="single" w:color="B0C4DE" w:sz="1"/>
              <w:left w:val="single" w:color="B0C4DE" w:sz="1"/>
              <w:bottom w:val="single" w:color="B0C4DE" w:sz="1"/>
              <w:right w:val="single" w:color="B0C4DE" w:sz="1"/>
            </w:tcBorders>
          </w:tcPr>
          <w:p>
            <w:pPr>
              <w:jc w:val="center"/>
            </w:pPr>
            <w:r>
              <w:t xml:space="preserve">High</w:t>
            </w:r>
          </w:p>
        </w:tc>
        <w:tc>
          <w:tcPr>
            <w:tcW w:type="dxa" w:w="1560"/>
            <w:tcBorders>
              <w:top w:val="single" w:color="B0C4DE" w:sz="1"/>
              <w:left w:val="single" w:color="B0C4DE" w:sz="1"/>
              <w:bottom w:val="single" w:color="B0C4DE" w:sz="1"/>
              <w:right w:val="single" w:color="B0C4DE" w:sz="1"/>
            </w:tcBorders>
          </w:tcPr>
          <w:p>
            <w:pPr>
              <w:jc w:val="center"/>
            </w:pPr>
            <w:r>
              <w:t xml:space="preserve">4 / 5</w:t>
            </w:r>
          </w:p>
        </w:tc>
        <w:tc>
          <w:tcPr>
            <w:tcW w:type="dxa" w:w="3120"/>
            <w:tcBorders>
              <w:top w:val="single" w:color="B0C4DE" w:sz="1"/>
              <w:left w:val="single" w:color="B0C4DE" w:sz="1"/>
              <w:bottom w:val="single" w:color="B0C4DE" w:sz="1"/>
              <w:right w:val="single" w:color="B0C4DE" w:sz="1"/>
            </w:tcBorders>
          </w:tcPr>
          <w:p>
            <w:r>
              <w:t xml:space="preserve">Access to production telemetry and operational alerting.</w:t>
            </w:r>
          </w:p>
        </w:tc>
      </w:tr>
      <w:tr>
        <w:tc>
          <w:tcPr>
            <w:tcW w:type="dxa" w:w="3120"/>
            <w:tcBorders>
              <w:top w:val="single" w:color="B0C4DE" w:sz="1"/>
              <w:left w:val="single" w:color="B0C4DE" w:sz="1"/>
              <w:bottom w:val="single" w:color="B0C4DE" w:sz="1"/>
              <w:right w:val="single" w:color="B0C4DE" w:sz="1"/>
            </w:tcBorders>
          </w:tcPr>
          <w:p>
            <w:r>
              <w:rPr>
                <w:b/>
                <w:bCs/>
              </w:rPr>
              <w:t xml:space="preserve">Likelihood</w:t>
            </w:r>
          </w:p>
        </w:tc>
        <w:tc>
          <w:tcPr>
            <w:tcW w:type="dxa" w:w="1560"/>
            <w:tcBorders>
              <w:top w:val="single" w:color="B0C4DE" w:sz="1"/>
              <w:left w:val="single" w:color="B0C4DE" w:sz="1"/>
              <w:bottom w:val="single" w:color="B0C4DE" w:sz="1"/>
              <w:right w:val="single" w:color="B0C4DE" w:sz="1"/>
            </w:tcBorders>
          </w:tcPr>
          <w:p>
            <w:pPr>
              <w:jc w:val="center"/>
            </w:pPr>
            <w:r>
              <w:t xml:space="preserve">Medium</w:t>
            </w:r>
          </w:p>
        </w:tc>
        <w:tc>
          <w:tcPr>
            <w:tcW w:type="dxa" w:w="1560"/>
            <w:tcBorders>
              <w:top w:val="single" w:color="B0C4DE" w:sz="1"/>
              <w:left w:val="single" w:color="B0C4DE" w:sz="1"/>
              <w:bottom w:val="single" w:color="B0C4DE" w:sz="1"/>
              <w:right w:val="single" w:color="B0C4DE" w:sz="1"/>
            </w:tcBorders>
          </w:tcPr>
          <w:p>
            <w:pPr>
              <w:jc w:val="center"/>
            </w:pPr>
            <w:r>
              <w:t xml:space="preserve">3 / 5</w:t>
            </w:r>
          </w:p>
        </w:tc>
        <w:tc>
          <w:tcPr>
            <w:tcW w:type="dxa" w:w="3120"/>
            <w:tcBorders>
              <w:top w:val="single" w:color="B0C4DE" w:sz="1"/>
              <w:left w:val="single" w:color="B0C4DE" w:sz="1"/>
              <w:bottom w:val="single" w:color="B0C4DE" w:sz="1"/>
              <w:right w:val="single" w:color="B0C4DE" w:sz="1"/>
            </w:tcBorders>
          </w:tcPr>
          <w:p>
            <w:r>
              <w:t xml:space="preserve">Shared multi-tenant platform with third-party integrations.</w:t>
            </w:r>
          </w:p>
        </w:tc>
      </w:tr>
      <w:tr>
        <w:tc>
          <w:tcPr>
            <w:tcW w:type="dxa" w:w="3120"/>
            <w:tcBorders>
              <w:top w:val="single" w:color="B0C4DE" w:sz="1"/>
              <w:left w:val="single" w:color="B0C4DE" w:sz="1"/>
              <w:bottom w:val="single" w:color="B0C4DE" w:sz="1"/>
              <w:right w:val="single" w:color="B0C4DE" w:sz="1"/>
            </w:tcBorders>
          </w:tcPr>
          <w:p>
            <w:r>
              <w:rPr>
                <w:b/>
                <w:bCs/>
              </w:rPr>
              <w:t xml:space="preserve">Controls effectiveness</w:t>
            </w:r>
          </w:p>
        </w:tc>
        <w:tc>
          <w:tcPr>
            <w:tcW w:type="dxa" w:w="1560"/>
            <w:tcBorders>
              <w:top w:val="single" w:color="B0C4DE" w:sz="1"/>
              <w:left w:val="single" w:color="B0C4DE" w:sz="1"/>
              <w:bottom w:val="single" w:color="B0C4DE" w:sz="1"/>
              <w:right w:val="single" w:color="B0C4DE" w:sz="1"/>
            </w:tcBorders>
          </w:tcPr>
          <w:p>
            <w:pPr>
              <w:jc w:val="center"/>
            </w:pPr>
            <w:r>
              <w:t xml:space="preserve">Medium</w:t>
            </w:r>
          </w:p>
        </w:tc>
        <w:tc>
          <w:tcPr>
            <w:tcW w:type="dxa" w:w="1560"/>
            <w:tcBorders>
              <w:top w:val="single" w:color="B0C4DE" w:sz="1"/>
              <w:left w:val="single" w:color="B0C4DE" w:sz="1"/>
              <w:bottom w:val="single" w:color="B0C4DE" w:sz="1"/>
              <w:right w:val="single" w:color="B0C4DE" w:sz="1"/>
            </w:tcBorders>
          </w:tcPr>
          <w:p>
            <w:pPr>
              <w:jc w:val="center"/>
            </w:pPr>
            <w:r>
              <w:t xml:space="preserve">3 / 5</w:t>
            </w:r>
          </w:p>
        </w:tc>
        <w:tc>
          <w:tcPr>
            <w:tcW w:type="dxa" w:w="3120"/>
            <w:tcBorders>
              <w:top w:val="single" w:color="B0C4DE" w:sz="1"/>
              <w:left w:val="single" w:color="B0C4DE" w:sz="1"/>
              <w:bottom w:val="single" w:color="B0C4DE" w:sz="1"/>
              <w:right w:val="single" w:color="B0C4DE" w:sz="1"/>
            </w:tcBorders>
          </w:tcPr>
          <w:p>
            <w:r>
              <w:t xml:space="preserve">Compensating controls rely on annual external audits.</w:t>
            </w:r>
          </w:p>
        </w:tc>
      </w:tr>
      <w:tr>
        <w:tc>
          <w:tcPr>
            <w:tcW w:type="dxa" w:w="3120"/>
            <w:tcBorders>
              <w:top w:val="single" w:color="B0C4DE" w:sz="1"/>
              <w:left w:val="single" w:color="B0C4DE" w:sz="1"/>
              <w:bottom w:val="single" w:color="B0C4DE" w:sz="1"/>
              <w:right w:val="single" w:color="B0C4DE" w:sz="1"/>
            </w:tcBorders>
          </w:tcPr>
          <w:p>
            <w:r>
              <w:rPr>
                <w:b/>
                <w:bCs/>
              </w:rPr>
              <w:t xml:space="preserve">Residual score</w:t>
            </w:r>
          </w:p>
        </w:tc>
        <w:tc>
          <w:tcPr>
            <w:tcW w:type="dxa" w:w="1560"/>
            <w:tcBorders>
              <w:top w:val="single" w:color="B0C4DE" w:sz="1"/>
              <w:left w:val="single" w:color="B0C4DE" w:sz="1"/>
              <w:bottom w:val="single" w:color="B0C4DE" w:sz="1"/>
              <w:right w:val="single" w:color="B0C4DE" w:sz="1"/>
            </w:tcBorders>
          </w:tcPr>
          <w:p>
            <w:pPr>
              <w:jc w:val="center"/>
            </w:pPr>
            <w:r>
              <w:t xml:space="preserve">Medium</w:t>
            </w:r>
          </w:p>
        </w:tc>
        <w:tc>
          <w:tcPr>
            <w:tcW w:type="dxa" w:w="1560"/>
            <w:tcBorders>
              <w:top w:val="single" w:color="B0C4DE" w:sz="1"/>
              <w:left w:val="single" w:color="B0C4DE" w:sz="1"/>
              <w:bottom w:val="single" w:color="B0C4DE" w:sz="1"/>
              <w:right w:val="single" w:color="B0C4DE" w:sz="1"/>
            </w:tcBorders>
          </w:tcPr>
          <w:p>
            <w:pPr>
              <w:jc w:val="center"/>
            </w:pPr>
            <w:r>
              <w:t xml:space="preserve">18 / 30</w:t>
            </w:r>
          </w:p>
        </w:tc>
        <w:tc>
          <w:tcPr>
            <w:tcW w:type="dxa" w:w="3120"/>
            <w:tcBorders>
              <w:top w:val="single" w:color="B0C4DE" w:sz="1"/>
              <w:left w:val="single" w:color="B0C4DE" w:sz="1"/>
              <w:bottom w:val="single" w:color="B0C4DE" w:sz="1"/>
              <w:right w:val="single" w:color="B0C4DE" w:sz="1"/>
            </w:tcBorders>
          </w:tcPr>
          <w:p>
            <w:r>
              <w:t xml:space="preserve">Pending SOC 2 Type II 2025 report submission.</w:t>
            </w:r>
          </w:p>
        </w:tc>
      </w:tr>
    </w:tbl>
    <w:p>
      <w:pPr>
        <w:pStyle w:val="Heading1"/>
      </w:pPr>
      <w:r>
        <w:t xml:space="preserve">5. Evidence Collected</w:t>
      </w:r>
    </w:p>
    <w:p>
      <w:pPr>
        <w:pStyle w:val="ListParagraph"/>
        <w:numPr>
          <w:ilvl w:val="0"/>
          <w:numId w:val="2"/>
        </w:numPr>
        <w:spacing w:after="0"/>
      </w:pPr>
      <w:r>
        <w:t xml:space="preserve">SIG Lite questionnaire (v2025.3) with mapping to SOC 2 CC3.3 and ISO 27001 Annex A controls.</w:t>
      </w:r>
    </w:p>
    <w:p>
      <w:pPr>
        <w:pStyle w:val="ListParagraph"/>
        <w:numPr>
          <w:ilvl w:val="0"/>
          <w:numId w:val="2"/>
        </w:numPr>
        <w:spacing w:after="0"/>
      </w:pPr>
      <w:r>
        <w:t xml:space="preserve">Network architecture diagram highlighting dedicated VPC peering to Ostrai production environment.</w:t>
      </w:r>
    </w:p>
    <w:p>
      <w:pPr>
        <w:pStyle w:val="ListParagraph"/>
        <w:numPr>
          <w:ilvl w:val="0"/>
          <w:numId w:val="2"/>
        </w:numPr>
        <w:spacing w:after="0"/>
      </w:pPr>
      <w:r>
        <w:t xml:space="preserve">Penetration test executive summary (2025-08-12) conducted by SecureOps Partners.</w:t>
      </w:r>
    </w:p>
    <w:p>
      <w:pPr>
        <w:pStyle w:val="ListParagraph"/>
        <w:numPr>
          <w:ilvl w:val="0"/>
          <w:numId w:val="2"/>
        </w:numPr>
        <w:spacing w:after="0"/>
      </w:pPr>
      <w:r>
        <w:t xml:space="preserve">Background check attestation for Acme production engineers with privileged access.</w:t>
      </w:r>
    </w:p>
    <w:p>
      <w:pPr>
        <w:pStyle w:val="Heading1"/>
      </w:pPr>
      <w:r>
        <w:t xml:space="preserve">6. Remediation Tracker</w:t>
      </w:r>
    </w:p>
    <w:p>
      <w:pPr>
        <w:pStyle w:val="Heading2"/>
      </w:pPr>
      <w:r>
        <w:t xml:space="preserve">Open Items (Jira SEC-REV)</w:t>
      </w:r>
    </w:p>
    <w:p>
      <w:pPr>
        <w:pStyle w:val="ListParagraph"/>
        <w:numPr>
          <w:ilvl w:val="0"/>
          <w:numId w:val="2"/>
        </w:numPr>
        <w:spacing w:after="0"/>
      </w:pPr>
      <w:r>
        <w:t xml:space="preserve">SEC-REV-142 — Obtain SOC 2 Type II report covering period ending 2025-09-30. Owner: legal@ostrai.io. Target: 2025-12-06.</w:t>
      </w:r>
    </w:p>
    <w:p>
      <w:pPr>
        <w:pStyle w:val="ListParagraph"/>
        <w:numPr>
          <w:ilvl w:val="0"/>
          <w:numId w:val="2"/>
        </w:numPr>
        <w:spacing w:after="0"/>
      </w:pPr>
      <w:r>
        <w:t xml:space="preserve">SEC-REV-147 — Validate API logging controls meet HIPAA §164.312(b) requirements. Owner: security@ostrai.io. Target: 2025-11-21.</w:t>
      </w:r>
    </w:p>
    <w:p>
      <w:pPr>
        <w:pStyle w:val="ListParagraph"/>
        <w:numPr>
          <w:ilvl w:val="0"/>
          <w:numId w:val="2"/>
        </w:numPr>
        <w:spacing w:after="0"/>
      </w:pPr>
      <w:r>
        <w:t xml:space="preserve">SEC-REV-152 — Confirm incident notification SLA updated to 72 hours in contract appendix. Owner: procurement@ostrai.io. Target: 2025-11-30.</w:t>
      </w:r>
    </w:p>
    <w:p>
      <w:pPr>
        <w:pStyle w:val="Heading2"/>
      </w:pPr>
      <w:r>
        <w:t xml:space="preserve">Completed Items (Past 90 Days)</w:t>
      </w:r>
    </w:p>
    <w:p>
      <w:pPr>
        <w:pStyle w:val="ListParagraph"/>
        <w:numPr>
          <w:ilvl w:val="0"/>
          <w:numId w:val="2"/>
        </w:numPr>
        <w:spacing w:after="0"/>
      </w:pPr>
      <w:r>
        <w:t xml:space="preserve">SOC 2 bridge letter received covering interim period to 2025-07-31 (logged in Evidence Vault /Vendors/Acme).</w:t>
      </w:r>
    </w:p>
    <w:p>
      <w:pPr>
        <w:pStyle w:val="ListParagraph"/>
        <w:numPr>
          <w:ilvl w:val="0"/>
          <w:numId w:val="2"/>
        </w:numPr>
        <w:spacing w:after="0"/>
      </w:pPr>
      <w:r>
        <w:t xml:space="preserve">Subprocessor list validated with no critical changes; monitoring automation linked to vendor RSS feed.</w:t>
      </w:r>
    </w:p>
    <w:p>
      <w:pPr>
        <w:pStyle w:val="ListParagraph"/>
        <w:numPr>
          <w:ilvl w:val="0"/>
          <w:numId w:val="2"/>
        </w:numPr>
        <w:spacing w:after="0"/>
      </w:pPr>
      <w:r>
        <w:t xml:space="preserve">Business continuity tabletop participation confirmed (Tabletop ID: VRA-TT-2025-02).</w:t>
      </w:r>
    </w:p>
    <w:p>
      <w:pPr>
        <w:pStyle w:val="Heading1"/>
      </w:pPr>
      <w:r>
        <w:t xml:space="preserve">7. Decision &amp; Attestation</w:t>
      </w:r>
    </w:p>
    <w:p>
      <w:pPr>
        <w:spacing w:after="180"/>
      </w:pPr>
      <w:r>
        <w:t xml:space="preserve">Vendor remains approved for continued use with Medium residual risk. Legal to monitor remediation commitments and provide monthly status updates during audit readiness sync.</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0C4DE" w:sz="1"/>
              <w:left w:val="single" w:color="B0C4DE" w:sz="1"/>
              <w:bottom w:val="single" w:color="B0C4DE" w:sz="1"/>
              <w:right w:val="single" w:color="B0C4DE" w:sz="1"/>
            </w:tcBorders>
          </w:tcPr>
          <w:p>
            <w:pPr>
              <w:spacing w:after="20"/>
            </w:pPr>
            <w:r>
              <w:rPr>
                <w:b/>
                <w:bCs/>
                <w:color w:val="1F2A44"/>
                <w:sz w:val="20"/>
                <w:szCs w:val="20"/>
              </w:rPr>
              <w:t xml:space="preserve">Assessment Owner:</w:t>
            </w:r>
          </w:p>
          <w:p>
            <w:pPr>
              <w:spacing w:after="20"/>
            </w:pPr>
            <w:r>
              <w:rPr>
                <w:color w:val="2C3E50"/>
                <w:sz w:val="20"/>
                <w:szCs w:val="20"/>
              </w:rPr>
              <w:t xml:space="preserve">Natalie Chen</w:t>
            </w:r>
          </w:p>
          <w:p>
            <w:pPr>
              <w:spacing w:after="20"/>
            </w:pPr>
            <w:r>
              <w:rPr>
                <w:color w:val="5D6D7E"/>
                <w:sz w:val="18"/>
                <w:szCs w:val="18"/>
              </w:rPr>
              <w:t xml:space="preserve">Vendor Risk Lead</w:t>
            </w:r>
          </w:p>
          <w:p>
            <w:pPr>
              <w:spacing w:before="40"/>
            </w:pPr>
            <w:r>
              <w:rPr>
                <w:color w:val="95A5A6"/>
              </w:rPr>
              <w:t xml:space="preserve">_______________________________</w:t>
            </w:r>
          </w:p>
        </w:tc>
      </w:tr>
      <w:tr>
        <w:tc>
          <w:tcPr>
            <w:tcW w:type="dxa" w:w="9360"/>
            <w:tcBorders>
              <w:top w:val="single" w:color="B0C4DE" w:sz="1"/>
              <w:left w:val="single" w:color="B0C4DE" w:sz="1"/>
              <w:bottom w:val="single" w:color="B0C4DE" w:sz="1"/>
              <w:right w:val="single" w:color="B0C4DE" w:sz="1"/>
            </w:tcBorders>
          </w:tcPr>
          <w:p>
            <w:pPr>
              <w:spacing w:after="20"/>
            </w:pPr>
            <w:r>
              <w:rPr>
                <w:b/>
                <w:bCs/>
                <w:color w:val="1F2A44"/>
                <w:sz w:val="20"/>
                <w:szCs w:val="20"/>
              </w:rPr>
              <w:t xml:space="preserve">Approver:</w:t>
            </w:r>
          </w:p>
          <w:p>
            <w:pPr>
              <w:spacing w:after="20"/>
            </w:pPr>
            <w:r>
              <w:rPr>
                <w:color w:val="2C3E50"/>
                <w:sz w:val="20"/>
                <w:szCs w:val="20"/>
              </w:rPr>
              <w:t xml:space="preserve">Jordan Ramirez</w:t>
            </w:r>
          </w:p>
          <w:p>
            <w:pPr>
              <w:spacing w:after="20"/>
            </w:pPr>
            <w:r>
              <w:rPr>
                <w:color w:val="5D6D7E"/>
                <w:sz w:val="18"/>
                <w:szCs w:val="18"/>
              </w:rPr>
              <w:t xml:space="preserve">Chief Compliance Officer</w:t>
            </w:r>
          </w:p>
          <w:p>
            <w:pPr>
              <w:spacing w:before="40"/>
            </w:pPr>
            <w:r>
              <w:rPr>
                <w:color w:val="95A5A6"/>
              </w:rPr>
              <w:t xml:space="preserve">_______________________________</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240" w:after="240"/>
      <w:jc w:val="center"/>
    </w:pPr>
    <w:rPr>
      <w:b/>
      <w:bCs/>
      <w:color w:val="1F2A44"/>
      <w:sz w:val="48"/>
      <w:szCs w:val="48"/>
      <w:rFonts w:ascii="Arial" w:cs="Arial" w:eastAsia="Arial" w:hAnsi="Arial"/>
    </w:rPr>
  </w:style>
  <w:style w:type="paragraph" w:styleId="Heading1">
    <w:name w:val="Heading 1"/>
    <w:basedOn w:val="Normal"/>
    <w:pPr>
      <w:spacing w:before="360" w:after="180"/>
      <w:outlineLvl w:val="0"/>
    </w:pPr>
    <w:rPr>
      <w:b/>
      <w:bCs/>
      <w:color w:val="1F2A44"/>
      <w:sz w:val="32"/>
      <w:szCs w:val="32"/>
      <w:rFonts w:ascii="Arial" w:cs="Arial" w:eastAsia="Arial" w:hAnsi="Arial"/>
    </w:rPr>
  </w:style>
  <w:style w:type="paragraph" w:styleId="Heading2">
    <w:name w:val="Heading 2"/>
    <w:basedOn w:val="Normal"/>
    <w:pPr>
      <w:spacing w:before="240" w:after="120"/>
      <w:outlineLvl w:val="1"/>
    </w:pPr>
    <w:rPr>
      <w:b/>
      <w:bCs/>
      <w:color w:val="2C3E50"/>
      <w:sz w:val="26"/>
      <w:szCs w:val="26"/>
      <w:rFonts w:ascii="Arial" w:cs="Arial" w:eastAsia="Arial" w:hAnsi="Arial"/>
    </w:rPr>
  </w:style>
  <w:style w:type="paragraph" w:styleId="Heading3">
    <w:name w:val="Heading 3"/>
    <w:basedOn w:val="Normal"/>
    <w:pPr>
      <w:spacing w:before="200" w:after="100"/>
      <w:outlineLvl w:val="2"/>
    </w:pPr>
    <w:rPr>
      <w:b/>
      <w:bCs/>
      <w:color w:val="2C3E50"/>
      <w:sz w:val="24"/>
      <w:szCs w:val="24"/>
      <w:rFonts w:ascii="Arial" w:cs="Arial" w:eastAsia="Arial" w:hAnsi="Arial"/>
    </w:rPr>
  </w:style>
  <w:style w:type="paragraph" w:styleId="Meta">
    <w:name w:val="Metadata"/>
    <w:pPr>
      <w:spacing w:after="60"/>
    </w:pPr>
    <w:rPr>
      <w:color w:val="5D6D7E"/>
      <w:sz w:val="20"/>
      <w:szCs w:val="20"/>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2026-06-20T21:38:03.303Z</dcterms:created>
  <dcterms:modified xsi:type="dcterms:W3CDTF">2026-06-20T21:38:03.303Z</dcterms:modified>
</cp:coreProperties>
</file>

<file path=docProps/custom.xml><?xml version="1.0" encoding="utf-8"?>
<Properties xmlns="http://schemas.openxmlformats.org/officeDocument/2006/custom-properties" xmlns:vt="http://schemas.openxmlformats.org/officeDocument/2006/docPropsVTypes"/>
</file>